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FE6" w:rsidRPr="00441FE6" w:rsidRDefault="00441FE6" w:rsidP="00441FE6">
      <w:pPr>
        <w:spacing w:after="0" w:line="240" w:lineRule="auto"/>
        <w:jc w:val="center"/>
        <w:rPr>
          <w:rFonts w:ascii="Times New Roman" w:eastAsia="Times New Roman" w:hAnsi="Times New Roman" w:cs="Times New Roman"/>
          <w:sz w:val="24"/>
          <w:szCs w:val="24"/>
          <w:lang w:eastAsia="it-IT"/>
        </w:rPr>
      </w:pPr>
      <w:r w:rsidRPr="00441FE6">
        <w:rPr>
          <w:rFonts w:ascii="Times New Roman" w:eastAsia="Times New Roman" w:hAnsi="Times New Roman" w:cs="Times New Roman"/>
          <w:sz w:val="24"/>
          <w:szCs w:val="24"/>
          <w:lang w:eastAsia="it-IT"/>
        </w:rPr>
        <w:t>Pubblicato il 29/07/2019</w:t>
      </w:r>
    </w:p>
    <w:p w:rsidR="00441FE6" w:rsidRPr="00441FE6" w:rsidRDefault="00441FE6" w:rsidP="00441FE6">
      <w:pPr>
        <w:spacing w:before="100" w:beforeAutospacing="1" w:after="100" w:afterAutospacing="1" w:line="0" w:lineRule="atLeast"/>
        <w:jc w:val="right"/>
        <w:rPr>
          <w:rFonts w:ascii="Times Nordic" w:eastAsia="Times New Roman" w:hAnsi="Times Nordic" w:cs="Times New Roman"/>
          <w:b/>
          <w:bCs/>
          <w:lang w:eastAsia="it-IT"/>
        </w:rPr>
      </w:pPr>
      <w:r w:rsidRPr="00441FE6">
        <w:rPr>
          <w:rFonts w:ascii="Times Nordic" w:eastAsia="Times New Roman" w:hAnsi="Times Nordic" w:cs="Times New Roman"/>
          <w:b/>
          <w:bCs/>
          <w:lang w:eastAsia="it-IT"/>
        </w:rPr>
        <w:t>N. 05308/2019REG.PROV.COLL.</w:t>
      </w:r>
    </w:p>
    <w:p w:rsidR="00441FE6" w:rsidRPr="00441FE6" w:rsidRDefault="00441FE6" w:rsidP="00441FE6">
      <w:pPr>
        <w:spacing w:before="100" w:beforeAutospacing="1" w:after="100" w:afterAutospacing="1" w:line="0" w:lineRule="atLeast"/>
        <w:jc w:val="right"/>
        <w:rPr>
          <w:rFonts w:ascii="Times Nordic" w:eastAsia="Times New Roman" w:hAnsi="Times Nordic" w:cs="Times New Roman"/>
          <w:b/>
          <w:bCs/>
          <w:lang w:eastAsia="it-IT"/>
        </w:rPr>
      </w:pPr>
      <w:r w:rsidRPr="00441FE6">
        <w:rPr>
          <w:rFonts w:ascii="Times Nordic" w:eastAsia="Times New Roman" w:hAnsi="Times Nordic" w:cs="Times New Roman"/>
          <w:b/>
          <w:bCs/>
          <w:lang w:eastAsia="it-IT"/>
        </w:rPr>
        <w:t>N. 01786/2018 REG.RIC.</w:t>
      </w:r>
    </w:p>
    <w:p w:rsidR="00441FE6" w:rsidRPr="00441FE6" w:rsidRDefault="00441FE6" w:rsidP="00441FE6">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441FE6">
        <w:rPr>
          <w:rFonts w:ascii="Garamond" w:eastAsia="Times New Roman" w:hAnsi="Garamond" w:cs="Times New Roman"/>
          <w:b/>
          <w:bCs/>
          <w:noProof/>
          <w:color w:val="000000"/>
          <w:spacing w:val="150"/>
          <w:sz w:val="24"/>
          <w:szCs w:val="24"/>
          <w:lang w:eastAsia="it-IT"/>
        </w:rPr>
        <w:drawing>
          <wp:inline distT="0" distB="0" distL="0" distR="0">
            <wp:extent cx="726440" cy="828040"/>
            <wp:effectExtent l="0" t="0" r="0" b="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6440" cy="828040"/>
                    </a:xfrm>
                    <a:prstGeom prst="rect">
                      <a:avLst/>
                    </a:prstGeom>
                    <a:noFill/>
                    <a:ln>
                      <a:noFill/>
                    </a:ln>
                  </pic:spPr>
                </pic:pic>
              </a:graphicData>
            </a:graphic>
          </wp:inline>
        </w:drawing>
      </w:r>
    </w:p>
    <w:p w:rsidR="00441FE6" w:rsidRPr="00441FE6" w:rsidRDefault="00441FE6" w:rsidP="00441FE6">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441FE6">
        <w:rPr>
          <w:rFonts w:ascii="Garamond" w:eastAsia="Times New Roman" w:hAnsi="Garamond" w:cs="Times New Roman"/>
          <w:b/>
          <w:bCs/>
          <w:color w:val="000000"/>
          <w:spacing w:val="150"/>
          <w:kern w:val="36"/>
          <w:sz w:val="24"/>
          <w:szCs w:val="24"/>
          <w:lang w:eastAsia="it-IT"/>
        </w:rPr>
        <w:t>REPUBBLICA ITALIANA</w:t>
      </w:r>
    </w:p>
    <w:p w:rsidR="00441FE6" w:rsidRPr="00441FE6" w:rsidRDefault="00441FE6" w:rsidP="00441FE6">
      <w:pPr>
        <w:spacing w:before="100" w:beforeAutospacing="1" w:after="100" w:afterAutospacing="1" w:line="240" w:lineRule="auto"/>
        <w:jc w:val="center"/>
        <w:rPr>
          <w:rFonts w:ascii="Garamond" w:eastAsia="Times New Roman" w:hAnsi="Garamond" w:cs="Times New Roman"/>
          <w:b/>
          <w:bCs/>
          <w:color w:val="000000"/>
          <w:lang w:eastAsia="it-IT"/>
        </w:rPr>
      </w:pPr>
      <w:r w:rsidRPr="00441FE6">
        <w:rPr>
          <w:rFonts w:ascii="Garamond" w:eastAsia="Times New Roman" w:hAnsi="Garamond" w:cs="Times New Roman"/>
          <w:b/>
          <w:bCs/>
          <w:color w:val="000000"/>
          <w:lang w:eastAsia="it-IT"/>
        </w:rPr>
        <w:t>IN NOME DEL POPOLO ITALIANO</w:t>
      </w:r>
    </w:p>
    <w:p w:rsidR="00441FE6" w:rsidRPr="00441FE6" w:rsidRDefault="00441FE6" w:rsidP="00441FE6">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41FE6">
        <w:rPr>
          <w:rFonts w:ascii="Garamond" w:eastAsia="Times New Roman" w:hAnsi="Garamond" w:cs="Times New Roman"/>
          <w:b/>
          <w:bCs/>
          <w:color w:val="000000"/>
          <w:sz w:val="26"/>
          <w:szCs w:val="26"/>
          <w:lang w:eastAsia="it-IT"/>
        </w:rPr>
        <w:t>Il Consiglio di Stato</w:t>
      </w:r>
    </w:p>
    <w:p w:rsidR="00441FE6" w:rsidRPr="00441FE6" w:rsidRDefault="00441FE6" w:rsidP="00441FE6">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41FE6">
        <w:rPr>
          <w:rFonts w:ascii="Garamond" w:eastAsia="Times New Roman" w:hAnsi="Garamond" w:cs="Times New Roman"/>
          <w:b/>
          <w:bCs/>
          <w:color w:val="000000"/>
          <w:sz w:val="26"/>
          <w:szCs w:val="26"/>
          <w:lang w:eastAsia="it-IT"/>
        </w:rPr>
        <w:t>in sede giurisdizionale (Sezione Quinta)</w:t>
      </w:r>
    </w:p>
    <w:p w:rsidR="00441FE6" w:rsidRPr="00441FE6" w:rsidRDefault="00441FE6" w:rsidP="00441FE6">
      <w:pPr>
        <w:spacing w:after="0" w:line="520" w:lineRule="atLeast"/>
        <w:ind w:firstLine="567"/>
        <w:jc w:val="lef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ha pronunciato la presente</w:t>
      </w:r>
    </w:p>
    <w:p w:rsidR="00441FE6" w:rsidRPr="00441FE6" w:rsidRDefault="00441FE6" w:rsidP="00441FE6">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41FE6">
        <w:rPr>
          <w:rFonts w:ascii="Garamond" w:eastAsia="Times New Roman" w:hAnsi="Garamond" w:cs="Times New Roman"/>
          <w:b/>
          <w:bCs/>
          <w:color w:val="000000"/>
          <w:sz w:val="26"/>
          <w:szCs w:val="26"/>
          <w:lang w:eastAsia="it-IT"/>
        </w:rPr>
        <w:t>SENTENZA</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 xml:space="preserve">sul ricorso numero di registro generale 1786 del 2018, proposto da </w:t>
      </w:r>
      <w:r w:rsidRPr="00441FE6">
        <w:rPr>
          <w:rFonts w:ascii="Garamond" w:eastAsia="Times New Roman" w:hAnsi="Garamond" w:cs="Times New Roman"/>
          <w:sz w:val="30"/>
          <w:szCs w:val="30"/>
          <w:lang w:eastAsia="it-IT"/>
        </w:rPr>
        <w:br/>
      </w:r>
      <w:proofErr w:type="spellStart"/>
      <w:r w:rsidRPr="00441FE6">
        <w:rPr>
          <w:rFonts w:ascii="Garamond" w:eastAsia="Times New Roman" w:hAnsi="Garamond" w:cs="Times New Roman"/>
          <w:sz w:val="30"/>
          <w:szCs w:val="30"/>
          <w:lang w:eastAsia="it-IT"/>
        </w:rPr>
        <w:t>Eutourist</w:t>
      </w:r>
      <w:proofErr w:type="spellEnd"/>
      <w:r w:rsidRPr="00441FE6">
        <w:rPr>
          <w:rFonts w:ascii="Garamond" w:eastAsia="Times New Roman" w:hAnsi="Garamond" w:cs="Times New Roman"/>
          <w:sz w:val="30"/>
          <w:szCs w:val="30"/>
          <w:lang w:eastAsia="it-IT"/>
        </w:rPr>
        <w:t xml:space="preserve"> New S.r.l., in persona del legale rappresentante </w:t>
      </w:r>
      <w:r w:rsidRPr="00441FE6">
        <w:rPr>
          <w:rFonts w:ascii="Garamond" w:eastAsia="Times New Roman" w:hAnsi="Garamond" w:cs="Times New Roman"/>
          <w:i/>
          <w:iCs/>
          <w:sz w:val="30"/>
          <w:szCs w:val="30"/>
          <w:lang w:eastAsia="it-IT"/>
        </w:rPr>
        <w:t>pro tempore</w:t>
      </w:r>
      <w:r w:rsidRPr="00441FE6">
        <w:rPr>
          <w:rFonts w:ascii="Garamond" w:eastAsia="Times New Roman" w:hAnsi="Garamond" w:cs="Times New Roman"/>
          <w:sz w:val="30"/>
          <w:szCs w:val="30"/>
          <w:lang w:eastAsia="it-IT"/>
        </w:rPr>
        <w:t xml:space="preserve">, rappresentata e difesa dall'avvocato Enrico Di </w:t>
      </w:r>
      <w:proofErr w:type="spellStart"/>
      <w:r w:rsidRPr="00441FE6">
        <w:rPr>
          <w:rFonts w:ascii="Garamond" w:eastAsia="Times New Roman" w:hAnsi="Garamond" w:cs="Times New Roman"/>
          <w:sz w:val="30"/>
          <w:szCs w:val="30"/>
          <w:lang w:eastAsia="it-IT"/>
        </w:rPr>
        <w:t>Ienno</w:t>
      </w:r>
      <w:proofErr w:type="spellEnd"/>
      <w:r w:rsidRPr="00441FE6">
        <w:rPr>
          <w:rFonts w:ascii="Garamond" w:eastAsia="Times New Roman" w:hAnsi="Garamond" w:cs="Times New Roman"/>
          <w:sz w:val="30"/>
          <w:szCs w:val="30"/>
          <w:lang w:eastAsia="it-IT"/>
        </w:rPr>
        <w:t>, con domicilio digitale come da PEC da Registri di Giustizia e domicilio eletto presso il suo studio in Roma, viale G. Mazzini, 33</w:t>
      </w:r>
    </w:p>
    <w:p w:rsidR="00441FE6" w:rsidRPr="00441FE6" w:rsidRDefault="00441FE6" w:rsidP="00441FE6">
      <w:pPr>
        <w:spacing w:after="0" w:line="520" w:lineRule="atLeast"/>
        <w:jc w:val="center"/>
        <w:rPr>
          <w:rFonts w:ascii="Garamond" w:eastAsia="Times New Roman" w:hAnsi="Garamond" w:cs="Times New Roman"/>
          <w:b/>
          <w:bCs/>
          <w:i/>
          <w:iCs/>
          <w:sz w:val="30"/>
          <w:szCs w:val="30"/>
          <w:lang w:eastAsia="it-IT"/>
        </w:rPr>
      </w:pPr>
      <w:r w:rsidRPr="00441FE6">
        <w:rPr>
          <w:rFonts w:ascii="Garamond" w:eastAsia="Times New Roman" w:hAnsi="Garamond" w:cs="Times New Roman"/>
          <w:b/>
          <w:bCs/>
          <w:i/>
          <w:iCs/>
          <w:sz w:val="30"/>
          <w:szCs w:val="30"/>
          <w:lang w:eastAsia="it-IT"/>
        </w:rPr>
        <w:t>contro</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 xml:space="preserve">Comune di Terni, in persona del Sindaco </w:t>
      </w:r>
      <w:r w:rsidRPr="00441FE6">
        <w:rPr>
          <w:rFonts w:ascii="Garamond" w:eastAsia="Times New Roman" w:hAnsi="Garamond" w:cs="Times New Roman"/>
          <w:i/>
          <w:iCs/>
          <w:sz w:val="30"/>
          <w:szCs w:val="30"/>
          <w:lang w:eastAsia="it-IT"/>
        </w:rPr>
        <w:t>pro tempore</w:t>
      </w:r>
      <w:r w:rsidRPr="00441FE6">
        <w:rPr>
          <w:rFonts w:ascii="Garamond" w:eastAsia="Times New Roman" w:hAnsi="Garamond" w:cs="Times New Roman"/>
          <w:sz w:val="30"/>
          <w:szCs w:val="30"/>
          <w:lang w:eastAsia="it-IT"/>
        </w:rPr>
        <w:t xml:space="preserve">, rappresentato e difeso dall'avvocato Paolo Gennari, con domicilio digitale come da PEC da Registri di Giustizia </w:t>
      </w:r>
    </w:p>
    <w:p w:rsidR="00441FE6" w:rsidRPr="00441FE6" w:rsidRDefault="00441FE6" w:rsidP="00441FE6">
      <w:pPr>
        <w:spacing w:after="0" w:line="520" w:lineRule="atLeast"/>
        <w:jc w:val="center"/>
        <w:rPr>
          <w:rFonts w:ascii="Garamond" w:eastAsia="Times New Roman" w:hAnsi="Garamond" w:cs="Times New Roman"/>
          <w:b/>
          <w:bCs/>
          <w:i/>
          <w:iCs/>
          <w:sz w:val="30"/>
          <w:szCs w:val="30"/>
          <w:lang w:eastAsia="it-IT"/>
        </w:rPr>
      </w:pPr>
      <w:r w:rsidRPr="00441FE6">
        <w:rPr>
          <w:rFonts w:ascii="Garamond" w:eastAsia="Times New Roman" w:hAnsi="Garamond" w:cs="Times New Roman"/>
          <w:b/>
          <w:bCs/>
          <w:i/>
          <w:iCs/>
          <w:sz w:val="30"/>
          <w:szCs w:val="30"/>
          <w:lang w:eastAsia="it-IT"/>
        </w:rPr>
        <w:t>nei confronti</w:t>
      </w:r>
    </w:p>
    <w:p w:rsidR="00441FE6" w:rsidRPr="00441FE6" w:rsidRDefault="00441FE6" w:rsidP="00441FE6">
      <w:pPr>
        <w:spacing w:after="0" w:line="520" w:lineRule="atLeast"/>
        <w:rPr>
          <w:rFonts w:ascii="Garamond" w:eastAsia="Times New Roman" w:hAnsi="Garamond" w:cs="Times New Roman"/>
          <w:sz w:val="30"/>
          <w:szCs w:val="30"/>
          <w:lang w:eastAsia="it-IT"/>
        </w:rPr>
      </w:pPr>
      <w:proofErr w:type="spellStart"/>
      <w:r w:rsidRPr="00441FE6">
        <w:rPr>
          <w:rFonts w:ascii="Garamond" w:eastAsia="Times New Roman" w:hAnsi="Garamond" w:cs="Times New Roman"/>
          <w:sz w:val="30"/>
          <w:szCs w:val="30"/>
          <w:lang w:eastAsia="it-IT"/>
        </w:rPr>
        <w:t>Gemos</w:t>
      </w:r>
      <w:proofErr w:type="spellEnd"/>
      <w:r w:rsidRPr="00441FE6">
        <w:rPr>
          <w:rFonts w:ascii="Garamond" w:eastAsia="Times New Roman" w:hAnsi="Garamond" w:cs="Times New Roman"/>
          <w:sz w:val="30"/>
          <w:szCs w:val="30"/>
          <w:lang w:eastAsia="it-IT"/>
        </w:rPr>
        <w:t xml:space="preserve"> Soc. Coop., in persona del legale rappresentante </w:t>
      </w:r>
      <w:r w:rsidRPr="00441FE6">
        <w:rPr>
          <w:rFonts w:ascii="Garamond" w:eastAsia="Times New Roman" w:hAnsi="Garamond" w:cs="Times New Roman"/>
          <w:i/>
          <w:iCs/>
          <w:sz w:val="30"/>
          <w:szCs w:val="30"/>
          <w:lang w:eastAsia="it-IT"/>
        </w:rPr>
        <w:t>pro tempore</w:t>
      </w:r>
      <w:r w:rsidRPr="00441FE6">
        <w:rPr>
          <w:rFonts w:ascii="Garamond" w:eastAsia="Times New Roman" w:hAnsi="Garamond" w:cs="Times New Roman"/>
          <w:sz w:val="30"/>
          <w:szCs w:val="30"/>
          <w:lang w:eastAsia="it-IT"/>
        </w:rPr>
        <w:t>, rappresentata e difesa dagli avvocati Alberto Mischi e Andrea Corinaldesi, con domicilio digitale come da PEC da Registri di Giustizia e domicilio eletto presso lo studio Francesca Giuffrè in Roma, via dei Gracchi n. 39</w:t>
      </w:r>
    </w:p>
    <w:p w:rsidR="00441FE6" w:rsidRPr="00441FE6" w:rsidRDefault="00441FE6" w:rsidP="00441FE6">
      <w:pPr>
        <w:spacing w:after="0" w:line="520" w:lineRule="atLeast"/>
        <w:jc w:val="center"/>
        <w:rPr>
          <w:rFonts w:ascii="Garamond" w:eastAsia="Times New Roman" w:hAnsi="Garamond" w:cs="Times New Roman"/>
          <w:b/>
          <w:bCs/>
          <w:i/>
          <w:iCs/>
          <w:sz w:val="30"/>
          <w:szCs w:val="30"/>
          <w:lang w:eastAsia="it-IT"/>
        </w:rPr>
      </w:pPr>
      <w:r w:rsidRPr="00441FE6">
        <w:rPr>
          <w:rFonts w:ascii="Garamond" w:eastAsia="Times New Roman" w:hAnsi="Garamond" w:cs="Times New Roman"/>
          <w:b/>
          <w:bCs/>
          <w:i/>
          <w:iCs/>
          <w:sz w:val="30"/>
          <w:szCs w:val="30"/>
          <w:lang w:eastAsia="it-IT"/>
        </w:rPr>
        <w:lastRenderedPageBreak/>
        <w:t>per la riforma della sentenza del Tribunale Amministrativo Regionale per l'Umbria (Sezione Prima) n. 10/2018</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Visti il ricorso in appello e i relativi allegati;</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 xml:space="preserve">Visti gli atti di costituzione in giudizio del Comune di Terni e della </w:t>
      </w:r>
      <w:proofErr w:type="spellStart"/>
      <w:r w:rsidRPr="00441FE6">
        <w:rPr>
          <w:rFonts w:ascii="Garamond" w:eastAsia="Times New Roman" w:hAnsi="Garamond" w:cs="Times New Roman"/>
          <w:sz w:val="30"/>
          <w:szCs w:val="30"/>
          <w:lang w:eastAsia="it-IT"/>
        </w:rPr>
        <w:t>Gemos</w:t>
      </w:r>
      <w:proofErr w:type="spellEnd"/>
      <w:r w:rsidRPr="00441FE6">
        <w:rPr>
          <w:rFonts w:ascii="Garamond" w:eastAsia="Times New Roman" w:hAnsi="Garamond" w:cs="Times New Roman"/>
          <w:sz w:val="30"/>
          <w:szCs w:val="30"/>
          <w:lang w:eastAsia="it-IT"/>
        </w:rPr>
        <w:t xml:space="preserve"> Soc. Coop;</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Visti tutti gli atti della causa;</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 xml:space="preserve">Relatore nell'udienza pubblica del giorno 6 dicembre 2018 il Cons. Giovanni Grasso e uditi per le parti gli avvocati Di </w:t>
      </w:r>
      <w:proofErr w:type="spellStart"/>
      <w:r w:rsidRPr="00441FE6">
        <w:rPr>
          <w:rFonts w:ascii="Garamond" w:eastAsia="Times New Roman" w:hAnsi="Garamond" w:cs="Times New Roman"/>
          <w:sz w:val="30"/>
          <w:szCs w:val="30"/>
          <w:lang w:eastAsia="it-IT"/>
        </w:rPr>
        <w:t>Ienno</w:t>
      </w:r>
      <w:proofErr w:type="spellEnd"/>
      <w:r w:rsidRPr="00441FE6">
        <w:rPr>
          <w:rFonts w:ascii="Garamond" w:eastAsia="Times New Roman" w:hAnsi="Garamond" w:cs="Times New Roman"/>
          <w:sz w:val="30"/>
          <w:szCs w:val="30"/>
          <w:lang w:eastAsia="it-IT"/>
        </w:rPr>
        <w:t xml:space="preserve">, </w:t>
      </w:r>
      <w:proofErr w:type="spellStart"/>
      <w:r w:rsidRPr="00441FE6">
        <w:rPr>
          <w:rFonts w:ascii="Garamond" w:eastAsia="Times New Roman" w:hAnsi="Garamond" w:cs="Times New Roman"/>
          <w:sz w:val="30"/>
          <w:szCs w:val="30"/>
          <w:lang w:eastAsia="it-IT"/>
        </w:rPr>
        <w:t>Gennari</w:t>
      </w:r>
      <w:proofErr w:type="spellEnd"/>
      <w:r w:rsidRPr="00441FE6">
        <w:rPr>
          <w:rFonts w:ascii="Garamond" w:eastAsia="Times New Roman" w:hAnsi="Garamond" w:cs="Times New Roman"/>
          <w:sz w:val="30"/>
          <w:szCs w:val="30"/>
          <w:lang w:eastAsia="it-IT"/>
        </w:rPr>
        <w:t xml:space="preserve"> e Mischi;</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Ritenuto e considerato in fatto e diritto quanto segue.</w:t>
      </w:r>
    </w:p>
    <w:p w:rsidR="00441FE6" w:rsidRPr="00441FE6" w:rsidRDefault="00441FE6" w:rsidP="00441FE6">
      <w:pPr>
        <w:spacing w:after="0" w:line="540" w:lineRule="atLeast"/>
        <w:jc w:val="center"/>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FATTO</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 xml:space="preserve">1.- Con ricorso notificato nei tempi e nelle forme di rito, </w:t>
      </w:r>
      <w:proofErr w:type="spellStart"/>
      <w:r w:rsidRPr="00441FE6">
        <w:rPr>
          <w:rFonts w:ascii="Garamond" w:eastAsia="Times New Roman" w:hAnsi="Garamond" w:cs="Times New Roman"/>
          <w:sz w:val="30"/>
          <w:szCs w:val="30"/>
          <w:lang w:eastAsia="it-IT"/>
        </w:rPr>
        <w:t>Euturist</w:t>
      </w:r>
      <w:proofErr w:type="spellEnd"/>
      <w:r w:rsidRPr="00441FE6">
        <w:rPr>
          <w:rFonts w:ascii="Garamond" w:eastAsia="Times New Roman" w:hAnsi="Garamond" w:cs="Times New Roman"/>
          <w:sz w:val="30"/>
          <w:szCs w:val="30"/>
          <w:lang w:eastAsia="it-IT"/>
        </w:rPr>
        <w:t xml:space="preserve"> New s.r.l., come in atti rappresentata e difesa, premetteva di aver partecipato alla procedura aperta indetta dal Comune di Terni, con bando pubblicato nel marzo 2017, per l’affidamento in concessione del servizio di ristorazione scolastica presso i nidi d'infanzia, i servizi integrativi, le scuole dell'infanzia, primarie e secondarie di primo grado comunali, per un importo a base d’asta di € 15.126.429,00 per cinque anni, oltre all’eventuale rinnovo per ulteriori due anni, per complessivi € 20.526.028,00. </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 xml:space="preserve">La gara era da aggiudicare con il criterio dell’offerta economicamente più vantaggiosa (mercé l’attribuzione di 70 punti all’elemento tecnico e 30 a quello economico), con precipuo riferimento: </w:t>
      </w:r>
      <w:r w:rsidRPr="00441FE6">
        <w:rPr>
          <w:rFonts w:ascii="Garamond" w:eastAsia="Times New Roman" w:hAnsi="Garamond" w:cs="Times New Roman"/>
          <w:i/>
          <w:iCs/>
          <w:sz w:val="30"/>
          <w:szCs w:val="30"/>
          <w:lang w:eastAsia="it-IT"/>
        </w:rPr>
        <w:t>a</w:t>
      </w:r>
      <w:r w:rsidRPr="00441FE6">
        <w:rPr>
          <w:rFonts w:ascii="Garamond" w:eastAsia="Times New Roman" w:hAnsi="Garamond" w:cs="Times New Roman"/>
          <w:sz w:val="30"/>
          <w:szCs w:val="30"/>
          <w:lang w:eastAsia="it-IT"/>
        </w:rPr>
        <w:t xml:space="preserve">) alla preparazione e distribuzione </w:t>
      </w:r>
      <w:r w:rsidRPr="00441FE6">
        <w:rPr>
          <w:rFonts w:ascii="Garamond" w:eastAsia="Times New Roman" w:hAnsi="Garamond" w:cs="Times New Roman"/>
          <w:i/>
          <w:iCs/>
          <w:sz w:val="30"/>
          <w:szCs w:val="30"/>
          <w:lang w:eastAsia="it-IT"/>
        </w:rPr>
        <w:t>in loco</w:t>
      </w:r>
      <w:r w:rsidRPr="00441FE6">
        <w:rPr>
          <w:rFonts w:ascii="Garamond" w:eastAsia="Times New Roman" w:hAnsi="Garamond" w:cs="Times New Roman"/>
          <w:sz w:val="30"/>
          <w:szCs w:val="30"/>
          <w:lang w:eastAsia="it-IT"/>
        </w:rPr>
        <w:t xml:space="preserve"> dei pasti nelle scuole aventi la cucina interna (elencate all’art. 4 del Capitolato); </w:t>
      </w:r>
      <w:r w:rsidRPr="00441FE6">
        <w:rPr>
          <w:rFonts w:ascii="Garamond" w:eastAsia="Times New Roman" w:hAnsi="Garamond" w:cs="Times New Roman"/>
          <w:i/>
          <w:iCs/>
          <w:sz w:val="30"/>
          <w:szCs w:val="30"/>
          <w:lang w:eastAsia="it-IT"/>
        </w:rPr>
        <w:t>b</w:t>
      </w:r>
      <w:r w:rsidRPr="00441FE6">
        <w:rPr>
          <w:rFonts w:ascii="Garamond" w:eastAsia="Times New Roman" w:hAnsi="Garamond" w:cs="Times New Roman"/>
          <w:sz w:val="30"/>
          <w:szCs w:val="30"/>
          <w:lang w:eastAsia="it-IT"/>
        </w:rPr>
        <w:t xml:space="preserve">) alla fornitura dei pasti cotti trasportati presso altre scuole non dotate di cucina interna (anche esse elencate all’art. 4 cit.); </w:t>
      </w:r>
      <w:r w:rsidRPr="00441FE6">
        <w:rPr>
          <w:rFonts w:ascii="Garamond" w:eastAsia="Times New Roman" w:hAnsi="Garamond" w:cs="Times New Roman"/>
          <w:i/>
          <w:iCs/>
          <w:sz w:val="30"/>
          <w:szCs w:val="30"/>
          <w:lang w:eastAsia="it-IT"/>
        </w:rPr>
        <w:t>c</w:t>
      </w:r>
      <w:r w:rsidRPr="00441FE6">
        <w:rPr>
          <w:rFonts w:ascii="Garamond" w:eastAsia="Times New Roman" w:hAnsi="Garamond" w:cs="Times New Roman"/>
          <w:sz w:val="30"/>
          <w:szCs w:val="30"/>
          <w:lang w:eastAsia="it-IT"/>
        </w:rPr>
        <w:t xml:space="preserve">) alla fornitura dei pasti crudi presso i nidi di infanzia, perché aventi cucina </w:t>
      </w:r>
      <w:r w:rsidRPr="00441FE6">
        <w:rPr>
          <w:rFonts w:ascii="Garamond" w:eastAsia="Times New Roman" w:hAnsi="Garamond" w:cs="Times New Roman"/>
          <w:i/>
          <w:iCs/>
          <w:sz w:val="30"/>
          <w:szCs w:val="30"/>
          <w:lang w:eastAsia="it-IT"/>
        </w:rPr>
        <w:t>in loco</w:t>
      </w:r>
      <w:r w:rsidRPr="00441FE6">
        <w:rPr>
          <w:rFonts w:ascii="Garamond" w:eastAsia="Times New Roman" w:hAnsi="Garamond" w:cs="Times New Roman"/>
          <w:sz w:val="30"/>
          <w:szCs w:val="30"/>
          <w:lang w:eastAsia="it-IT"/>
        </w:rPr>
        <w:t xml:space="preserve"> gestita dal personale comunale. </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 xml:space="preserve">Precisava, per quanto di particolare interesse ai fini della lite, che il ridetto capitolato speciale aveva previsto, relativamente ai requisiti di partecipazione ed </w:t>
      </w:r>
      <w:r w:rsidRPr="00441FE6">
        <w:rPr>
          <w:rFonts w:ascii="Garamond" w:eastAsia="Times New Roman" w:hAnsi="Garamond" w:cs="Times New Roman"/>
          <w:sz w:val="30"/>
          <w:szCs w:val="30"/>
          <w:lang w:eastAsia="it-IT"/>
        </w:rPr>
        <w:lastRenderedPageBreak/>
        <w:t>alle specifiche tecniche del servizio, la necessità che ogni concorrente producesse apposita dichiarazione recante impegno “</w:t>
      </w:r>
      <w:r w:rsidRPr="00441FE6">
        <w:rPr>
          <w:rFonts w:ascii="Garamond" w:eastAsia="Times New Roman" w:hAnsi="Garamond" w:cs="Times New Roman"/>
          <w:i/>
          <w:iCs/>
          <w:sz w:val="30"/>
          <w:szCs w:val="30"/>
          <w:lang w:eastAsia="it-IT"/>
        </w:rPr>
        <w:t>a disporre, in caso di aggiudicazione, per tutto il periodo di durata della concessione, di un Centro di preparazione pasti ad una distanza non superiore a 20 km effettivi dal centro di Terni, dotato delle necessarie attrezzature e autorizzazioni sanitarie per l’espletamento del servizio in concessione (preparazione, confezionamento e distribuzione)</w:t>
      </w:r>
      <w:r w:rsidRPr="00441FE6">
        <w:rPr>
          <w:rFonts w:ascii="Garamond" w:eastAsia="Times New Roman" w:hAnsi="Garamond" w:cs="Times New Roman"/>
          <w:sz w:val="30"/>
          <w:szCs w:val="30"/>
          <w:lang w:eastAsia="it-IT"/>
        </w:rPr>
        <w:t>”, nonché distinta dichiarazione di “</w:t>
      </w:r>
      <w:r w:rsidRPr="00441FE6">
        <w:rPr>
          <w:rFonts w:ascii="Garamond" w:eastAsia="Times New Roman" w:hAnsi="Garamond" w:cs="Times New Roman"/>
          <w:i/>
          <w:iCs/>
          <w:sz w:val="30"/>
          <w:szCs w:val="30"/>
          <w:lang w:eastAsia="it-IT"/>
        </w:rPr>
        <w:t xml:space="preserve">disporre di un piano di emergenza per assicurare il servizio in caso di impossibilità di utilizzo del centro di preparazione pasti, di una delle cucine </w:t>
      </w:r>
      <w:r w:rsidRPr="00441FE6">
        <w:rPr>
          <w:rFonts w:ascii="Garamond" w:eastAsia="Times New Roman" w:hAnsi="Garamond" w:cs="Times New Roman"/>
          <w:sz w:val="30"/>
          <w:szCs w:val="30"/>
          <w:lang w:eastAsia="it-IT"/>
        </w:rPr>
        <w:t>in loco</w:t>
      </w:r>
      <w:r w:rsidRPr="00441FE6">
        <w:rPr>
          <w:rFonts w:ascii="Garamond" w:eastAsia="Times New Roman" w:hAnsi="Garamond" w:cs="Times New Roman"/>
          <w:i/>
          <w:iCs/>
          <w:sz w:val="30"/>
          <w:szCs w:val="30"/>
          <w:lang w:eastAsia="it-IT"/>
        </w:rPr>
        <w:t>, delle attrezzature o dei mezzi di trasporto impiegati nel servizio in Concessione</w:t>
      </w:r>
      <w:r w:rsidRPr="00441FE6">
        <w:rPr>
          <w:rFonts w:ascii="Garamond" w:eastAsia="Times New Roman" w:hAnsi="Garamond" w:cs="Times New Roman"/>
          <w:sz w:val="30"/>
          <w:szCs w:val="30"/>
          <w:lang w:eastAsia="it-IT"/>
        </w:rPr>
        <w:t xml:space="preserve">”. </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Aggiungeva che, all’art. 16, riguardo al servizio dei pasti trasportati, era altresì prevista la necessità di “</w:t>
      </w:r>
      <w:r w:rsidRPr="00441FE6">
        <w:rPr>
          <w:rFonts w:ascii="Garamond" w:eastAsia="Times New Roman" w:hAnsi="Garamond" w:cs="Times New Roman"/>
          <w:i/>
          <w:iCs/>
          <w:sz w:val="30"/>
          <w:szCs w:val="30"/>
          <w:lang w:eastAsia="it-IT"/>
        </w:rPr>
        <w:t>confezionare i pasti richiesti giornalmente presso un centro di cottura situato in un raggio di distanza dal centro della città di Terni non superiore a 20 Km effettivi</w:t>
      </w:r>
      <w:r w:rsidRPr="00441FE6">
        <w:rPr>
          <w:rFonts w:ascii="Garamond" w:eastAsia="Times New Roman" w:hAnsi="Garamond" w:cs="Times New Roman"/>
          <w:sz w:val="30"/>
          <w:szCs w:val="30"/>
          <w:lang w:eastAsia="it-IT"/>
        </w:rPr>
        <w:t>”, mentre, all’art. 19, era puntualizzato che “</w:t>
      </w:r>
      <w:r w:rsidRPr="00441FE6">
        <w:rPr>
          <w:rFonts w:ascii="Garamond" w:eastAsia="Times New Roman" w:hAnsi="Garamond" w:cs="Times New Roman"/>
          <w:i/>
          <w:iCs/>
          <w:sz w:val="30"/>
          <w:szCs w:val="30"/>
          <w:lang w:eastAsia="it-IT"/>
        </w:rPr>
        <w:t>il Concessionario, all’avvio del Servizio di Ristorazione Scolastica,</w:t>
      </w:r>
      <w:r w:rsidRPr="00441FE6">
        <w:rPr>
          <w:rFonts w:ascii="Garamond" w:eastAsia="Times New Roman" w:hAnsi="Garamond" w:cs="Times New Roman"/>
          <w:sz w:val="30"/>
          <w:szCs w:val="30"/>
          <w:lang w:eastAsia="it-IT"/>
        </w:rPr>
        <w:t xml:space="preserve"> [avrebbe dovuto] </w:t>
      </w:r>
      <w:r w:rsidRPr="00441FE6">
        <w:rPr>
          <w:rFonts w:ascii="Garamond" w:eastAsia="Times New Roman" w:hAnsi="Garamond" w:cs="Times New Roman"/>
          <w:i/>
          <w:iCs/>
          <w:sz w:val="30"/>
          <w:szCs w:val="30"/>
          <w:lang w:eastAsia="it-IT"/>
        </w:rPr>
        <w:t>possedere o avere la disponibilità di un autonomo centro di cottura/Centro di Produzione pasti con capacità di produzione adeguata all’entità della</w:t>
      </w:r>
      <w:r w:rsidRPr="00441FE6">
        <w:rPr>
          <w:rFonts w:ascii="Garamond" w:eastAsia="Times New Roman" w:hAnsi="Garamond" w:cs="Times New Roman"/>
          <w:sz w:val="30"/>
          <w:szCs w:val="30"/>
          <w:lang w:eastAsia="it-IT"/>
        </w:rPr>
        <w:t xml:space="preserve"> […] </w:t>
      </w:r>
      <w:r w:rsidRPr="00441FE6">
        <w:rPr>
          <w:rFonts w:ascii="Garamond" w:eastAsia="Times New Roman" w:hAnsi="Garamond" w:cs="Times New Roman"/>
          <w:i/>
          <w:iCs/>
          <w:sz w:val="30"/>
          <w:szCs w:val="30"/>
          <w:lang w:eastAsia="it-IT"/>
        </w:rPr>
        <w:t>Concessione, dedicato in modo esclusivo alla ristorazione collettiva</w:t>
      </w:r>
      <w:r w:rsidRPr="00441FE6">
        <w:rPr>
          <w:rFonts w:ascii="Garamond" w:eastAsia="Times New Roman" w:hAnsi="Garamond" w:cs="Times New Roman"/>
          <w:sz w:val="30"/>
          <w:szCs w:val="30"/>
          <w:lang w:eastAsia="it-IT"/>
        </w:rPr>
        <w:t xml:space="preserve">”: tale centro avrebbe dovuto presentare i requisiti richiesti e descritti nel Reg. (CE) 852/2004 e s.m.i., nella normativa nazionale e regionale vigente sull’igiene degli alimenti, contemperandole comunque con le Linee Guida per la Ristorazione Scolastica della Regione Umbria. </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Infine, tutti i locali e le strutture che il Concessionario intendesse utilizzare per il servizio oggetto della Concessione avrebbero dovuto possedere la notifica (mediante SCIA) trasmessa all’ASL di competenza.</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2.- Tanto premesso, esponeva che, all’esito del confronto concorrenziale delle formulate offerte, risultava aggiudicataria la ditta GEMOS.</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 xml:space="preserve">Avverso l’aggiudicazione aveva, peraltro, proposto ricorso dinanzi al TAR Perugia, con il aveva censurato: </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i/>
          <w:iCs/>
          <w:sz w:val="30"/>
          <w:szCs w:val="30"/>
          <w:lang w:eastAsia="it-IT"/>
        </w:rPr>
        <w:lastRenderedPageBreak/>
        <w:t>a</w:t>
      </w:r>
      <w:r w:rsidRPr="00441FE6">
        <w:rPr>
          <w:rFonts w:ascii="Garamond" w:eastAsia="Times New Roman" w:hAnsi="Garamond" w:cs="Times New Roman"/>
          <w:sz w:val="30"/>
          <w:szCs w:val="30"/>
          <w:lang w:eastAsia="it-IT"/>
        </w:rPr>
        <w:t>) la mancata esclusione della stessa GEMOS, a motivo della argomentata “</w:t>
      </w:r>
      <w:r w:rsidRPr="00441FE6">
        <w:rPr>
          <w:rFonts w:ascii="Garamond" w:eastAsia="Times New Roman" w:hAnsi="Garamond" w:cs="Times New Roman"/>
          <w:i/>
          <w:iCs/>
          <w:sz w:val="30"/>
          <w:szCs w:val="30"/>
          <w:lang w:eastAsia="it-IT"/>
        </w:rPr>
        <w:t>discrasia</w:t>
      </w:r>
      <w:r w:rsidRPr="00441FE6">
        <w:rPr>
          <w:rFonts w:ascii="Garamond" w:eastAsia="Times New Roman" w:hAnsi="Garamond" w:cs="Times New Roman"/>
          <w:sz w:val="30"/>
          <w:szCs w:val="30"/>
          <w:lang w:eastAsia="it-IT"/>
        </w:rPr>
        <w:t xml:space="preserve">” tra la dichiarazione resa riguardo alla disponibilità per tutta la durata del periodo di concessione (e, quindi, pretesamente fin dall’inizio del servizio) di un Centro di cottura nel Comune di Terni e quella con cui la società si era (semplicemente e prospetticamente) impegnata all’allestimento, entro tre mesi dalla sottoscrizione del contratto, di un nuovo centro di cottura; </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i/>
          <w:iCs/>
          <w:sz w:val="30"/>
          <w:szCs w:val="30"/>
          <w:lang w:eastAsia="it-IT"/>
        </w:rPr>
        <w:t>b</w:t>
      </w:r>
      <w:r w:rsidRPr="00441FE6">
        <w:rPr>
          <w:rFonts w:ascii="Garamond" w:eastAsia="Times New Roman" w:hAnsi="Garamond" w:cs="Times New Roman"/>
          <w:sz w:val="30"/>
          <w:szCs w:val="30"/>
          <w:lang w:eastAsia="it-IT"/>
        </w:rPr>
        <w:t xml:space="preserve">) la difformità dell’offerta rispetto alle previsioni della </w:t>
      </w:r>
      <w:r w:rsidRPr="00441FE6">
        <w:rPr>
          <w:rFonts w:ascii="Garamond" w:eastAsia="Times New Roman" w:hAnsi="Garamond" w:cs="Times New Roman"/>
          <w:i/>
          <w:iCs/>
          <w:sz w:val="30"/>
          <w:szCs w:val="30"/>
          <w:lang w:eastAsia="it-IT"/>
        </w:rPr>
        <w:t>lex specialis</w:t>
      </w:r>
      <w:r w:rsidRPr="00441FE6">
        <w:rPr>
          <w:rFonts w:ascii="Garamond" w:eastAsia="Times New Roman" w:hAnsi="Garamond" w:cs="Times New Roman"/>
          <w:sz w:val="30"/>
          <w:szCs w:val="30"/>
          <w:lang w:eastAsia="it-IT"/>
        </w:rPr>
        <w:t xml:space="preserve"> (stante la ventilata incertezza in ordine al luogo della effettiva preparazione dei pasti e della programmatica gestione delle emergenze); </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i/>
          <w:iCs/>
          <w:sz w:val="30"/>
          <w:szCs w:val="30"/>
          <w:lang w:eastAsia="it-IT"/>
        </w:rPr>
        <w:t>c</w:t>
      </w:r>
      <w:r w:rsidRPr="00441FE6">
        <w:rPr>
          <w:rFonts w:ascii="Garamond" w:eastAsia="Times New Roman" w:hAnsi="Garamond" w:cs="Times New Roman"/>
          <w:sz w:val="30"/>
          <w:szCs w:val="30"/>
          <w:lang w:eastAsia="it-IT"/>
        </w:rPr>
        <w:t>) il carattere asseritamente condizionato ed incompleto della stessa (oltretutto, in tesi, implausibilmente premiata con il massimo dei punteggi per i vari scolpiti subcriteri).</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In via subordinata, aveva lamentato l’illegittimo cumulo delle funzioni (in forza di “</w:t>
      </w:r>
      <w:r w:rsidRPr="00441FE6">
        <w:rPr>
          <w:rFonts w:ascii="Garamond" w:eastAsia="Times New Roman" w:hAnsi="Garamond" w:cs="Times New Roman"/>
          <w:i/>
          <w:iCs/>
          <w:sz w:val="30"/>
          <w:szCs w:val="30"/>
          <w:lang w:eastAsia="it-IT"/>
        </w:rPr>
        <w:t>autonomina</w:t>
      </w:r>
      <w:r w:rsidRPr="00441FE6">
        <w:rPr>
          <w:rFonts w:ascii="Garamond" w:eastAsia="Times New Roman" w:hAnsi="Garamond" w:cs="Times New Roman"/>
          <w:sz w:val="30"/>
          <w:szCs w:val="30"/>
          <w:lang w:eastAsia="it-IT"/>
        </w:rPr>
        <w:t xml:space="preserve">”) di Presidente, membro giudicante di Commissione valutativa, RUP e Dirigente - Responsabile del servizio. </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 xml:space="preserve">3.- Nel rituale contraddittorio delle parti, il primo giudice, con la sentenza </w:t>
      </w:r>
      <w:proofErr w:type="spellStart"/>
      <w:r w:rsidRPr="00441FE6">
        <w:rPr>
          <w:rFonts w:ascii="Garamond" w:eastAsia="Times New Roman" w:hAnsi="Garamond" w:cs="Times New Roman"/>
          <w:sz w:val="30"/>
          <w:szCs w:val="30"/>
          <w:lang w:eastAsia="it-IT"/>
        </w:rPr>
        <w:t>epigrafata</w:t>
      </w:r>
      <w:proofErr w:type="spellEnd"/>
      <w:r w:rsidRPr="00441FE6">
        <w:rPr>
          <w:rFonts w:ascii="Garamond" w:eastAsia="Times New Roman" w:hAnsi="Garamond" w:cs="Times New Roman"/>
          <w:sz w:val="30"/>
          <w:szCs w:val="30"/>
          <w:lang w:eastAsia="it-IT"/>
        </w:rPr>
        <w:t xml:space="preserve">, respingeva il ricorso, sul complessivo ed argomentato assunto: </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i/>
          <w:iCs/>
          <w:sz w:val="30"/>
          <w:szCs w:val="30"/>
          <w:lang w:eastAsia="it-IT"/>
        </w:rPr>
        <w:t>a</w:t>
      </w:r>
      <w:r w:rsidRPr="00441FE6">
        <w:rPr>
          <w:rFonts w:ascii="Garamond" w:eastAsia="Times New Roman" w:hAnsi="Garamond" w:cs="Times New Roman"/>
          <w:sz w:val="30"/>
          <w:szCs w:val="30"/>
          <w:lang w:eastAsia="it-IT"/>
        </w:rPr>
        <w:t xml:space="preserve">) che l’offerta di GEMOS non potesse essere ritenuta indeterminata o incerta, posto che la stazione appaltante aveva messo a disposizione le cucine esistenti all’interno delle strutture, che avrebbero potuto esser utilizzate anche per produrre i pasti da veicolare in altre sedi; </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i/>
          <w:iCs/>
          <w:sz w:val="30"/>
          <w:szCs w:val="30"/>
          <w:lang w:eastAsia="it-IT"/>
        </w:rPr>
        <w:t>b</w:t>
      </w:r>
      <w:r w:rsidRPr="00441FE6">
        <w:rPr>
          <w:rFonts w:ascii="Garamond" w:eastAsia="Times New Roman" w:hAnsi="Garamond" w:cs="Times New Roman"/>
          <w:sz w:val="30"/>
          <w:szCs w:val="30"/>
          <w:lang w:eastAsia="it-IT"/>
        </w:rPr>
        <w:t xml:space="preserve">) che neppure si trattava di illegittima proposta “in variante” (visto che la possibilità di preparare i pasti da veicolare nelle cucine delle scuole, anziché nel centro di cottura, discendeva “ragionevolmente” dalla possibilità di utilizzo delle stesse cucine comunali); </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i/>
          <w:iCs/>
          <w:sz w:val="30"/>
          <w:szCs w:val="30"/>
          <w:lang w:eastAsia="it-IT"/>
        </w:rPr>
        <w:lastRenderedPageBreak/>
        <w:t>c</w:t>
      </w:r>
      <w:r w:rsidRPr="00441FE6">
        <w:rPr>
          <w:rFonts w:ascii="Garamond" w:eastAsia="Times New Roman" w:hAnsi="Garamond" w:cs="Times New Roman"/>
          <w:sz w:val="30"/>
          <w:szCs w:val="30"/>
          <w:lang w:eastAsia="it-IT"/>
        </w:rPr>
        <w:t xml:space="preserve">) che, quanto al personale da impiegare presso ciascuna scuola, la mancata allegazione del diagramma di </w:t>
      </w:r>
      <w:proofErr w:type="spellStart"/>
      <w:r w:rsidRPr="00441FE6">
        <w:rPr>
          <w:rFonts w:ascii="Garamond" w:eastAsia="Times New Roman" w:hAnsi="Garamond" w:cs="Times New Roman"/>
          <w:sz w:val="30"/>
          <w:szCs w:val="30"/>
          <w:lang w:eastAsia="it-IT"/>
        </w:rPr>
        <w:t>Gant</w:t>
      </w:r>
      <w:proofErr w:type="spellEnd"/>
      <w:r w:rsidRPr="00441FE6">
        <w:rPr>
          <w:rFonts w:ascii="Garamond" w:eastAsia="Times New Roman" w:hAnsi="Garamond" w:cs="Times New Roman"/>
          <w:sz w:val="30"/>
          <w:szCs w:val="30"/>
          <w:lang w:eastAsia="it-IT"/>
        </w:rPr>
        <w:t xml:space="preserve"> non potesse ritenersi illegittima, non essendo un elemento richiesto a pena di esclusione; </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i/>
          <w:iCs/>
          <w:sz w:val="30"/>
          <w:szCs w:val="30"/>
          <w:lang w:eastAsia="it-IT"/>
        </w:rPr>
        <w:t>d</w:t>
      </w:r>
      <w:r w:rsidRPr="00441FE6">
        <w:rPr>
          <w:rFonts w:ascii="Garamond" w:eastAsia="Times New Roman" w:hAnsi="Garamond" w:cs="Times New Roman"/>
          <w:sz w:val="30"/>
          <w:szCs w:val="30"/>
          <w:lang w:eastAsia="it-IT"/>
        </w:rPr>
        <w:t xml:space="preserve">) che parimenti infondata risultava la censura riguardante la contestazione dell’assegnazione dei punteggi, la cui formulazione in termini meramente numerici non necessitava di essere accompagnata da ulteriore supporto giustificativo, alla luce della puntuale prefigurazione di quindici subcriteri valutativi: </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i/>
          <w:iCs/>
          <w:sz w:val="30"/>
          <w:szCs w:val="30"/>
          <w:lang w:eastAsia="it-IT"/>
        </w:rPr>
        <w:t>e</w:t>
      </w:r>
      <w:r w:rsidRPr="00441FE6">
        <w:rPr>
          <w:rFonts w:ascii="Garamond" w:eastAsia="Times New Roman" w:hAnsi="Garamond" w:cs="Times New Roman"/>
          <w:sz w:val="30"/>
          <w:szCs w:val="30"/>
          <w:lang w:eastAsia="it-IT"/>
        </w:rPr>
        <w:t xml:space="preserve">) che il cumulo delle cariche e funzioni di dirigente dei servizi formativi e sociali del Comune di Terni, di Presidente giudicante della Commissione e di RUP del relativo procedimento non era illegittimo, non essendo stata provata una eventuale situazione di incompatibilità. </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4.- Avverso la ridetta statuizione insorgeva l’appellante, che ne lamentava, con plurimo mezzo, la complessiva erroneità ed ingiustizia, invocandone l’integrale riforma.</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Nel rituale contraddittorio delle parti, alla pubblica udienza del 6 dicembre 2018, sulle reiterate conclusioni dei difensori delle parti costituite, la causa veniva riservata per la decisione.</w:t>
      </w:r>
    </w:p>
    <w:p w:rsidR="00441FE6" w:rsidRPr="00441FE6" w:rsidRDefault="00441FE6" w:rsidP="00441FE6">
      <w:pPr>
        <w:spacing w:after="0" w:line="540" w:lineRule="atLeast"/>
        <w:jc w:val="center"/>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DIRITTO</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1.- L’appello è infondato e merita di essere respinto.</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2.- L’infondatezza nel merito delle articolate doglianze, argomentata nei sensi delle considerazioni che seguono, vale ad esimere il Collegio dalla disamina delle preliminari questioni di rito eccepite dalla controinteressata, relativamente alla asserita inammissibilità del ricorso di prime cure.</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 xml:space="preserve">3.- Con il primo motivo di gravame, la società appellante ribadisce le ragioni della ritenuta non conformità dell’offerta della controinteressata alla </w:t>
      </w:r>
      <w:r w:rsidRPr="00441FE6">
        <w:rPr>
          <w:rFonts w:ascii="Garamond" w:eastAsia="Times New Roman" w:hAnsi="Garamond" w:cs="Times New Roman"/>
          <w:i/>
          <w:iCs/>
          <w:sz w:val="30"/>
          <w:szCs w:val="30"/>
          <w:lang w:eastAsia="it-IT"/>
        </w:rPr>
        <w:t xml:space="preserve">lex specialis </w:t>
      </w:r>
      <w:r w:rsidRPr="00441FE6">
        <w:rPr>
          <w:rFonts w:ascii="Garamond" w:eastAsia="Times New Roman" w:hAnsi="Garamond" w:cs="Times New Roman"/>
          <w:sz w:val="30"/>
          <w:szCs w:val="30"/>
          <w:lang w:eastAsia="it-IT"/>
        </w:rPr>
        <w:t xml:space="preserve">di procedura, ritenendo, per un verso, insufficiente il mero impegno a dotarsi (entro tre mesi dalla stipula del contratto) di apposito centro di cottura (in tesi </w:t>
      </w:r>
      <w:r w:rsidRPr="00441FE6">
        <w:rPr>
          <w:rFonts w:ascii="Garamond" w:eastAsia="Times New Roman" w:hAnsi="Garamond" w:cs="Times New Roman"/>
          <w:sz w:val="30"/>
          <w:szCs w:val="30"/>
          <w:lang w:eastAsia="it-IT"/>
        </w:rPr>
        <w:lastRenderedPageBreak/>
        <w:t>concretante precisa ed ineludibile specifica tecnica delle programmate prestazioni) e, per altro verso, contraddittoria la congiunta e contestuale dichiarazione di disporre dello stesso “per tutto il tempo della durata della concessione”.</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3.1.</w:t>
      </w:r>
      <w:r>
        <w:rPr>
          <w:rFonts w:ascii="Garamond" w:eastAsia="Times New Roman" w:hAnsi="Garamond" w:cs="Times New Roman"/>
          <w:sz w:val="30"/>
          <w:szCs w:val="30"/>
          <w:lang w:eastAsia="it-IT"/>
        </w:rPr>
        <w:t xml:space="preserve"> </w:t>
      </w:r>
      <w:r w:rsidRPr="00441FE6">
        <w:rPr>
          <w:rFonts w:ascii="Garamond" w:eastAsia="Times New Roman" w:hAnsi="Garamond" w:cs="Times New Roman"/>
          <w:sz w:val="30"/>
          <w:szCs w:val="30"/>
          <w:lang w:eastAsia="it-IT"/>
        </w:rPr>
        <w:t>- Il motivo non può trovare accoglimento.</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Non ha errato il primo giudice nel valorizzare la precisione dell’art. 12 del capitolato speciale, a tenore del quale requisito di partecipazione alla procedura era la mera dichiarazione di impegno a disporre, “</w:t>
      </w:r>
      <w:r w:rsidRPr="00441FE6">
        <w:rPr>
          <w:rFonts w:ascii="Garamond" w:eastAsia="Times New Roman" w:hAnsi="Garamond" w:cs="Times New Roman"/>
          <w:i/>
          <w:iCs/>
          <w:sz w:val="30"/>
          <w:szCs w:val="30"/>
          <w:lang w:eastAsia="it-IT"/>
        </w:rPr>
        <w:t>in caso di aggiudicazione</w:t>
      </w:r>
      <w:r w:rsidRPr="00441FE6">
        <w:rPr>
          <w:rFonts w:ascii="Garamond" w:eastAsia="Times New Roman" w:hAnsi="Garamond" w:cs="Times New Roman"/>
          <w:sz w:val="30"/>
          <w:szCs w:val="30"/>
          <w:lang w:eastAsia="it-IT"/>
        </w:rPr>
        <w:t>” e “</w:t>
      </w:r>
      <w:r w:rsidRPr="00441FE6">
        <w:rPr>
          <w:rFonts w:ascii="Garamond" w:eastAsia="Times New Roman" w:hAnsi="Garamond" w:cs="Times New Roman"/>
          <w:i/>
          <w:iCs/>
          <w:sz w:val="30"/>
          <w:szCs w:val="30"/>
          <w:lang w:eastAsia="it-IT"/>
        </w:rPr>
        <w:t>per tutto il periodo della concessione</w:t>
      </w:r>
      <w:r w:rsidRPr="00441FE6">
        <w:rPr>
          <w:rFonts w:ascii="Garamond" w:eastAsia="Times New Roman" w:hAnsi="Garamond" w:cs="Times New Roman"/>
          <w:sz w:val="30"/>
          <w:szCs w:val="30"/>
          <w:lang w:eastAsia="it-IT"/>
        </w:rPr>
        <w:t>”, di un centro di preparazione pasti a distanza non superiore a 20 km effettivi dal centro cittadino, dotato delle necessarie attrezzature e autorizzazioni sanitarie per l’espletamento del servizio.</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 xml:space="preserve">Invero, sia la </w:t>
      </w:r>
      <w:r w:rsidRPr="00441FE6">
        <w:rPr>
          <w:rFonts w:ascii="Garamond" w:eastAsia="Times New Roman" w:hAnsi="Garamond" w:cs="Times New Roman"/>
          <w:i/>
          <w:iCs/>
          <w:sz w:val="30"/>
          <w:szCs w:val="30"/>
          <w:lang w:eastAsia="it-IT"/>
        </w:rPr>
        <w:t>formulazione letterale</w:t>
      </w:r>
      <w:r w:rsidRPr="00441FE6">
        <w:rPr>
          <w:rFonts w:ascii="Garamond" w:eastAsia="Times New Roman" w:hAnsi="Garamond" w:cs="Times New Roman"/>
          <w:sz w:val="30"/>
          <w:szCs w:val="30"/>
          <w:lang w:eastAsia="it-IT"/>
        </w:rPr>
        <w:t xml:space="preserve"> della clausola (testualmente incentrata su dichiarazione di tenore meramente </w:t>
      </w:r>
      <w:r w:rsidRPr="00441FE6">
        <w:rPr>
          <w:rFonts w:ascii="Garamond" w:eastAsia="Times New Roman" w:hAnsi="Garamond" w:cs="Times New Roman"/>
          <w:i/>
          <w:iCs/>
          <w:sz w:val="30"/>
          <w:szCs w:val="30"/>
          <w:lang w:eastAsia="it-IT"/>
        </w:rPr>
        <w:t>impegnativo</w:t>
      </w:r>
      <w:r w:rsidRPr="00441FE6">
        <w:rPr>
          <w:rFonts w:ascii="Garamond" w:eastAsia="Times New Roman" w:hAnsi="Garamond" w:cs="Times New Roman"/>
          <w:sz w:val="30"/>
          <w:szCs w:val="30"/>
          <w:lang w:eastAsia="it-IT"/>
        </w:rPr>
        <w:t xml:space="preserve"> e non </w:t>
      </w:r>
      <w:r w:rsidRPr="00441FE6">
        <w:rPr>
          <w:rFonts w:ascii="Garamond" w:eastAsia="Times New Roman" w:hAnsi="Garamond" w:cs="Times New Roman"/>
          <w:i/>
          <w:iCs/>
          <w:sz w:val="30"/>
          <w:szCs w:val="30"/>
          <w:lang w:eastAsia="it-IT"/>
        </w:rPr>
        <w:t>ricognitivo</w:t>
      </w:r>
      <w:r w:rsidRPr="00441FE6">
        <w:rPr>
          <w:rFonts w:ascii="Garamond" w:eastAsia="Times New Roman" w:hAnsi="Garamond" w:cs="Times New Roman"/>
          <w:sz w:val="30"/>
          <w:szCs w:val="30"/>
          <w:lang w:eastAsia="it-IT"/>
        </w:rPr>
        <w:t xml:space="preserve"> ed ancorata, in termini prospetticamente condizionali, alla eventualità dell’esito aggiudicatorio), sia la (necessaria e coerente) interpretazione proconcorrenziale della stessa (che si conforma al diffuso intendimento della disponibilità di un centro di cottura localizzato quale requisito di </w:t>
      </w:r>
      <w:r w:rsidRPr="00441FE6">
        <w:rPr>
          <w:rFonts w:ascii="Garamond" w:eastAsia="Times New Roman" w:hAnsi="Garamond" w:cs="Times New Roman"/>
          <w:i/>
          <w:iCs/>
          <w:sz w:val="30"/>
          <w:szCs w:val="30"/>
          <w:lang w:eastAsia="it-IT"/>
        </w:rPr>
        <w:t xml:space="preserve">esecuzione </w:t>
      </w:r>
      <w:r w:rsidRPr="00441FE6">
        <w:rPr>
          <w:rFonts w:ascii="Garamond" w:eastAsia="Times New Roman" w:hAnsi="Garamond" w:cs="Times New Roman"/>
          <w:sz w:val="30"/>
          <w:szCs w:val="30"/>
          <w:lang w:eastAsia="it-IT"/>
        </w:rPr>
        <w:t xml:space="preserve">delle prestazioni negoziali e non di </w:t>
      </w:r>
      <w:r w:rsidRPr="00441FE6">
        <w:rPr>
          <w:rFonts w:ascii="Garamond" w:eastAsia="Times New Roman" w:hAnsi="Garamond" w:cs="Times New Roman"/>
          <w:i/>
          <w:iCs/>
          <w:sz w:val="30"/>
          <w:szCs w:val="30"/>
          <w:lang w:eastAsia="it-IT"/>
        </w:rPr>
        <w:t xml:space="preserve">partecipazione </w:t>
      </w:r>
      <w:r w:rsidRPr="00441FE6">
        <w:rPr>
          <w:rFonts w:ascii="Garamond" w:eastAsia="Times New Roman" w:hAnsi="Garamond" w:cs="Times New Roman"/>
          <w:sz w:val="30"/>
          <w:szCs w:val="30"/>
          <w:lang w:eastAsia="it-IT"/>
        </w:rPr>
        <w:t xml:space="preserve">alla gara: cfr. </w:t>
      </w:r>
      <w:r w:rsidRPr="00441FE6">
        <w:rPr>
          <w:rFonts w:ascii="Garamond" w:eastAsia="Times New Roman" w:hAnsi="Garamond" w:cs="Times New Roman"/>
          <w:i/>
          <w:iCs/>
          <w:sz w:val="30"/>
          <w:szCs w:val="30"/>
          <w:lang w:eastAsia="it-IT"/>
        </w:rPr>
        <w:t xml:space="preserve">ex </w:t>
      </w:r>
      <w:proofErr w:type="spellStart"/>
      <w:r w:rsidRPr="00441FE6">
        <w:rPr>
          <w:rFonts w:ascii="Garamond" w:eastAsia="Times New Roman" w:hAnsi="Garamond" w:cs="Times New Roman"/>
          <w:i/>
          <w:iCs/>
          <w:sz w:val="30"/>
          <w:szCs w:val="30"/>
          <w:lang w:eastAsia="it-IT"/>
        </w:rPr>
        <w:t>permultis</w:t>
      </w:r>
      <w:proofErr w:type="spellEnd"/>
      <w:r w:rsidRPr="00441FE6">
        <w:rPr>
          <w:rFonts w:ascii="Garamond" w:eastAsia="Times New Roman" w:hAnsi="Garamond" w:cs="Times New Roman"/>
          <w:i/>
          <w:iCs/>
          <w:sz w:val="30"/>
          <w:szCs w:val="30"/>
          <w:lang w:eastAsia="it-IT"/>
        </w:rPr>
        <w:t xml:space="preserve"> </w:t>
      </w:r>
      <w:r w:rsidRPr="00441FE6">
        <w:rPr>
          <w:rFonts w:ascii="Garamond" w:eastAsia="Times New Roman" w:hAnsi="Garamond" w:cs="Times New Roman"/>
          <w:sz w:val="30"/>
          <w:szCs w:val="30"/>
          <w:lang w:eastAsia="it-IT"/>
        </w:rPr>
        <w:t xml:space="preserve">Cons. Stato, sez. V, 3 aprile 2019, n. 2190; Id., 17 luglio 2018, n. 4390; Id. 18 dicembre 2017, n. 5929; Id., 24 maggio 2017, n. 2443), fanno palese che – come correttamente ritenuto dalla stazione appaltante - ai concorrenti non era richiesto di </w:t>
      </w:r>
      <w:r w:rsidRPr="00441FE6">
        <w:rPr>
          <w:rFonts w:ascii="Garamond" w:eastAsia="Times New Roman" w:hAnsi="Garamond" w:cs="Times New Roman"/>
          <w:i/>
          <w:iCs/>
          <w:sz w:val="30"/>
          <w:szCs w:val="30"/>
          <w:lang w:eastAsia="it-IT"/>
        </w:rPr>
        <w:t>disporre</w:t>
      </w:r>
      <w:r w:rsidRPr="00441FE6">
        <w:rPr>
          <w:rFonts w:ascii="Garamond" w:eastAsia="Times New Roman" w:hAnsi="Garamond" w:cs="Times New Roman"/>
          <w:sz w:val="30"/>
          <w:szCs w:val="30"/>
          <w:lang w:eastAsia="it-IT"/>
        </w:rPr>
        <w:t xml:space="preserve"> di un centro di cottura </w:t>
      </w:r>
      <w:r w:rsidRPr="00441FE6">
        <w:rPr>
          <w:rFonts w:ascii="Garamond" w:eastAsia="Times New Roman" w:hAnsi="Garamond" w:cs="Times New Roman"/>
          <w:i/>
          <w:iCs/>
          <w:sz w:val="30"/>
          <w:szCs w:val="30"/>
          <w:lang w:eastAsia="it-IT"/>
        </w:rPr>
        <w:t>al momento della presentazione dell’offerta</w:t>
      </w:r>
      <w:r w:rsidRPr="00441FE6">
        <w:rPr>
          <w:rFonts w:ascii="Garamond" w:eastAsia="Times New Roman" w:hAnsi="Garamond" w:cs="Times New Roman"/>
          <w:sz w:val="30"/>
          <w:szCs w:val="30"/>
          <w:lang w:eastAsia="it-IT"/>
        </w:rPr>
        <w:t>, ma solo di garantirne il possesso in caso di esito favorevole della gara.</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Non sussiste, per tal via, alcuna incongruenza tra la dichiarazione di impegno a disporre del centro di cottura e quella del possesso di tutti i requisiti per l’utile accesso alla procedura concorrenziale.</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 xml:space="preserve">4.- Con il secondo motivo, l’appellante censura la sentenza impugnata, nella parte in cui non ha riconosciuto che l’offerta della controinteressata sarebbe stata </w:t>
      </w:r>
      <w:r w:rsidRPr="00441FE6">
        <w:rPr>
          <w:rFonts w:ascii="Garamond" w:eastAsia="Times New Roman" w:hAnsi="Garamond" w:cs="Times New Roman"/>
          <w:i/>
          <w:iCs/>
          <w:sz w:val="30"/>
          <w:szCs w:val="30"/>
          <w:lang w:eastAsia="it-IT"/>
        </w:rPr>
        <w:t xml:space="preserve">difforme </w:t>
      </w:r>
      <w:r w:rsidRPr="00441FE6">
        <w:rPr>
          <w:rFonts w:ascii="Garamond" w:eastAsia="Times New Roman" w:hAnsi="Garamond" w:cs="Times New Roman"/>
          <w:sz w:val="30"/>
          <w:szCs w:val="30"/>
          <w:lang w:eastAsia="it-IT"/>
        </w:rPr>
        <w:lastRenderedPageBreak/>
        <w:t xml:space="preserve">dalle previsioni della </w:t>
      </w:r>
      <w:r w:rsidRPr="00441FE6">
        <w:rPr>
          <w:rFonts w:ascii="Garamond" w:eastAsia="Times New Roman" w:hAnsi="Garamond" w:cs="Times New Roman"/>
          <w:i/>
          <w:iCs/>
          <w:sz w:val="30"/>
          <w:szCs w:val="30"/>
          <w:lang w:eastAsia="it-IT"/>
        </w:rPr>
        <w:t>lex sp</w:t>
      </w:r>
      <w:r>
        <w:rPr>
          <w:rFonts w:ascii="Garamond" w:eastAsia="Times New Roman" w:hAnsi="Garamond" w:cs="Times New Roman"/>
          <w:i/>
          <w:iCs/>
          <w:sz w:val="30"/>
          <w:szCs w:val="30"/>
          <w:lang w:eastAsia="it-IT"/>
        </w:rPr>
        <w:t>e</w:t>
      </w:r>
      <w:r w:rsidRPr="00441FE6">
        <w:rPr>
          <w:rFonts w:ascii="Garamond" w:eastAsia="Times New Roman" w:hAnsi="Garamond" w:cs="Times New Roman"/>
          <w:i/>
          <w:iCs/>
          <w:sz w:val="30"/>
          <w:szCs w:val="30"/>
          <w:lang w:eastAsia="it-IT"/>
        </w:rPr>
        <w:t>cialis</w:t>
      </w:r>
      <w:r w:rsidRPr="00441FE6">
        <w:rPr>
          <w:rFonts w:ascii="Garamond" w:eastAsia="Times New Roman" w:hAnsi="Garamond" w:cs="Times New Roman"/>
          <w:sz w:val="30"/>
          <w:szCs w:val="30"/>
          <w:lang w:eastAsia="it-IT"/>
        </w:rPr>
        <w:t xml:space="preserve">, </w:t>
      </w:r>
      <w:r w:rsidRPr="00441FE6">
        <w:rPr>
          <w:rFonts w:ascii="Garamond" w:eastAsia="Times New Roman" w:hAnsi="Garamond" w:cs="Times New Roman"/>
          <w:i/>
          <w:iCs/>
          <w:sz w:val="30"/>
          <w:szCs w:val="30"/>
          <w:lang w:eastAsia="it-IT"/>
        </w:rPr>
        <w:t xml:space="preserve">indeterminata </w:t>
      </w:r>
      <w:r w:rsidRPr="00441FE6">
        <w:rPr>
          <w:rFonts w:ascii="Garamond" w:eastAsia="Times New Roman" w:hAnsi="Garamond" w:cs="Times New Roman"/>
          <w:sz w:val="30"/>
          <w:szCs w:val="30"/>
          <w:lang w:eastAsia="it-IT"/>
        </w:rPr>
        <w:t xml:space="preserve">ed </w:t>
      </w:r>
      <w:r w:rsidRPr="00441FE6">
        <w:rPr>
          <w:rFonts w:ascii="Garamond" w:eastAsia="Times New Roman" w:hAnsi="Garamond" w:cs="Times New Roman"/>
          <w:i/>
          <w:iCs/>
          <w:sz w:val="30"/>
          <w:szCs w:val="30"/>
          <w:lang w:eastAsia="it-IT"/>
        </w:rPr>
        <w:t xml:space="preserve">incerta </w:t>
      </w:r>
      <w:r w:rsidRPr="00441FE6">
        <w:rPr>
          <w:rFonts w:ascii="Garamond" w:eastAsia="Times New Roman" w:hAnsi="Garamond" w:cs="Times New Roman"/>
          <w:sz w:val="30"/>
          <w:szCs w:val="30"/>
          <w:lang w:eastAsia="it-IT"/>
        </w:rPr>
        <w:t xml:space="preserve">relativamente al luogo di preparazione dei pasti anche in caso di sopravvenienti emergenze, </w:t>
      </w:r>
      <w:r w:rsidRPr="00441FE6">
        <w:rPr>
          <w:rFonts w:ascii="Garamond" w:eastAsia="Times New Roman" w:hAnsi="Garamond" w:cs="Times New Roman"/>
          <w:i/>
          <w:iCs/>
          <w:sz w:val="30"/>
          <w:szCs w:val="30"/>
          <w:lang w:eastAsia="it-IT"/>
        </w:rPr>
        <w:t xml:space="preserve">condizionata </w:t>
      </w:r>
      <w:r w:rsidRPr="00441FE6">
        <w:rPr>
          <w:rFonts w:ascii="Garamond" w:eastAsia="Times New Roman" w:hAnsi="Garamond" w:cs="Times New Roman"/>
          <w:sz w:val="30"/>
          <w:szCs w:val="30"/>
          <w:lang w:eastAsia="it-IT"/>
        </w:rPr>
        <w:t xml:space="preserve">in relazione alla subordinazione alla accettazione della asserita proposta di variante, </w:t>
      </w:r>
      <w:r w:rsidRPr="00441FE6">
        <w:rPr>
          <w:rFonts w:ascii="Garamond" w:eastAsia="Times New Roman" w:hAnsi="Garamond" w:cs="Times New Roman"/>
          <w:i/>
          <w:iCs/>
          <w:sz w:val="30"/>
          <w:szCs w:val="30"/>
          <w:lang w:eastAsia="it-IT"/>
        </w:rPr>
        <w:t xml:space="preserve">incompleta </w:t>
      </w:r>
      <w:r w:rsidRPr="00441FE6">
        <w:rPr>
          <w:rFonts w:ascii="Garamond" w:eastAsia="Times New Roman" w:hAnsi="Garamond" w:cs="Times New Roman"/>
          <w:sz w:val="30"/>
          <w:szCs w:val="30"/>
          <w:lang w:eastAsia="it-IT"/>
        </w:rPr>
        <w:t>in quanto mancante del diagramma di Gantt relativo alla cucina della scuola Mazzini.</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4.1.</w:t>
      </w:r>
      <w:r>
        <w:rPr>
          <w:rFonts w:ascii="Garamond" w:eastAsia="Times New Roman" w:hAnsi="Garamond" w:cs="Times New Roman"/>
          <w:sz w:val="30"/>
          <w:szCs w:val="30"/>
          <w:lang w:eastAsia="it-IT"/>
        </w:rPr>
        <w:t xml:space="preserve"> </w:t>
      </w:r>
      <w:r w:rsidRPr="00441FE6">
        <w:rPr>
          <w:rFonts w:ascii="Garamond" w:eastAsia="Times New Roman" w:hAnsi="Garamond" w:cs="Times New Roman"/>
          <w:sz w:val="30"/>
          <w:szCs w:val="30"/>
          <w:lang w:eastAsia="it-IT"/>
        </w:rPr>
        <w:t>- Il motivo non è fondato.</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 xml:space="preserve">Vale invero osservare, in sostanziale conformità al corretto intendimento del primo giudice: </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i/>
          <w:iCs/>
          <w:sz w:val="30"/>
          <w:szCs w:val="30"/>
          <w:lang w:eastAsia="it-IT"/>
        </w:rPr>
        <w:t>a</w:t>
      </w:r>
      <w:r w:rsidRPr="00441FE6">
        <w:rPr>
          <w:rFonts w:ascii="Garamond" w:eastAsia="Times New Roman" w:hAnsi="Garamond" w:cs="Times New Roman"/>
          <w:sz w:val="30"/>
          <w:szCs w:val="30"/>
          <w:lang w:eastAsia="it-IT"/>
        </w:rPr>
        <w:t xml:space="preserve">) che la ribadita circostanza che la disponibilità di un centro di cottura non costituisse requisito di ammissione (o specifica tecnica), né conferma la conformità alla previsione programmatica dei documenti di gara; </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i/>
          <w:iCs/>
          <w:sz w:val="30"/>
          <w:szCs w:val="30"/>
          <w:lang w:eastAsia="it-IT"/>
        </w:rPr>
        <w:t>b</w:t>
      </w:r>
      <w:r w:rsidRPr="00441FE6">
        <w:rPr>
          <w:rFonts w:ascii="Garamond" w:eastAsia="Times New Roman" w:hAnsi="Garamond" w:cs="Times New Roman"/>
          <w:sz w:val="30"/>
          <w:szCs w:val="30"/>
          <w:lang w:eastAsia="it-IT"/>
        </w:rPr>
        <w:t xml:space="preserve">) che l’incertezza dell’offerta deve escludersi alla luce del rilievo che, ai fini della preparazione dei pasti, la stazione appaltante confermava la messa a disposizione di ventisette cucine collocate presso altrettante sedi scolastiche (cfr. artt. 1 e 4 del capitolato speciale), utili sia alla produzione dei pasti da consumare </w:t>
      </w:r>
      <w:r w:rsidRPr="00441FE6">
        <w:rPr>
          <w:rFonts w:ascii="Garamond" w:eastAsia="Times New Roman" w:hAnsi="Garamond" w:cs="Times New Roman"/>
          <w:i/>
          <w:iCs/>
          <w:sz w:val="30"/>
          <w:szCs w:val="30"/>
          <w:lang w:eastAsia="it-IT"/>
        </w:rPr>
        <w:t>in loco</w:t>
      </w:r>
      <w:r w:rsidRPr="00441FE6">
        <w:rPr>
          <w:rFonts w:ascii="Garamond" w:eastAsia="Times New Roman" w:hAnsi="Garamond" w:cs="Times New Roman"/>
          <w:sz w:val="30"/>
          <w:szCs w:val="30"/>
          <w:lang w:eastAsia="it-IT"/>
        </w:rPr>
        <w:t xml:space="preserve">, sia alla prefigurata predisposizione di pasti da trasportare in altre scuole prive della cucina interna: al qual fine non consta della ventilata (e pretesamente ostativa o variamente condizionante) necessità della previa autorizzazione o del previo consenso dell’ente appaltante, stante la sussistenza delle preventive e necessaria autorizzazioni amministrative; </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i/>
          <w:iCs/>
          <w:sz w:val="30"/>
          <w:szCs w:val="30"/>
          <w:lang w:eastAsia="it-IT"/>
        </w:rPr>
        <w:t>c</w:t>
      </w:r>
      <w:r w:rsidRPr="00441FE6">
        <w:rPr>
          <w:rFonts w:ascii="Garamond" w:eastAsia="Times New Roman" w:hAnsi="Garamond" w:cs="Times New Roman"/>
          <w:sz w:val="30"/>
          <w:szCs w:val="30"/>
          <w:lang w:eastAsia="it-IT"/>
        </w:rPr>
        <w:t xml:space="preserve">) che, sotto distinto profilo, le ridette modalità prestazionali, quali formulate dalla vittoriosa offerta, non può essere acquisita in termini di variante non prefigurata dalla legge di gara, nulla essendo previsto nella stessa che ostasse alla utilizzazione delle cucine per la preparazione di pasti suscettibili di trasporto presso finitime sedi scolastiche ed essendo, all’incontro, tale eventualità ragionevolmente discendente dalla accordata possibilità di utilizzazione delle stesse cucine comunali, concessa dall’Amministrazione: di fatto, l’assunto della contrarietà di siffatte modalità </w:t>
      </w:r>
      <w:r w:rsidRPr="00441FE6">
        <w:rPr>
          <w:rFonts w:ascii="Garamond" w:eastAsia="Times New Roman" w:hAnsi="Garamond" w:cs="Times New Roman"/>
          <w:sz w:val="30"/>
          <w:szCs w:val="30"/>
          <w:lang w:eastAsia="it-IT"/>
        </w:rPr>
        <w:lastRenderedPageBreak/>
        <w:t>operative al complessivo assetto della gara appare frutto di apodittica e non giustificata limitazione e certamente non confligge con la richiesta di autonoma disponibilità di propri centri di cottura;</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i/>
          <w:iCs/>
          <w:sz w:val="30"/>
          <w:szCs w:val="30"/>
          <w:lang w:eastAsia="it-IT"/>
        </w:rPr>
        <w:t>e</w:t>
      </w:r>
      <w:r w:rsidRPr="00441FE6">
        <w:rPr>
          <w:rFonts w:ascii="Garamond" w:eastAsia="Times New Roman" w:hAnsi="Garamond" w:cs="Times New Roman"/>
          <w:sz w:val="30"/>
          <w:szCs w:val="30"/>
          <w:lang w:eastAsia="it-IT"/>
        </w:rPr>
        <w:t>) che la mancata allegazione del diagramma di Gantt relativo al personale di ciascuna scuola non avrebbe potuto rappresentare – in assenza di una previsione capitolare idonea a prefigurarne il difetto quale specifica clausola esclusiva – ragione di irritualità dell’offerta, in quanto per ogni profilo conforme alle condizioni negoziali di gara; peraltro, la formulazione dei relativi punteggi non risulta, in concreto, preclusa, alla luce delle esaustive indicazioni (anche relativamente alla scuola Mazzini, per la quale le doglianze vengono specificamente evidenziate) delle tabelle generali allegate a corredo dell’offerta.</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 xml:space="preserve">5.- Con ulteriore motivo di gravame, l’appellante reitera il motivo con il quale aveva censurato l’operato della Commissione giudicatrice, che – anche in considerazione del ribadito carattere incerto e condizionato della proposta negoziale - avrebbe dovuto (quanto meno, si deve intendere) assegnare un punteggio inferiore all’offerta tecnica della GEMOS. </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5.1.</w:t>
      </w:r>
      <w:r>
        <w:rPr>
          <w:rFonts w:ascii="Garamond" w:eastAsia="Times New Roman" w:hAnsi="Garamond" w:cs="Times New Roman"/>
          <w:sz w:val="30"/>
          <w:szCs w:val="30"/>
          <w:lang w:eastAsia="it-IT"/>
        </w:rPr>
        <w:t xml:space="preserve"> </w:t>
      </w:r>
      <w:r w:rsidRPr="00441FE6">
        <w:rPr>
          <w:rFonts w:ascii="Garamond" w:eastAsia="Times New Roman" w:hAnsi="Garamond" w:cs="Times New Roman"/>
          <w:sz w:val="30"/>
          <w:szCs w:val="30"/>
          <w:lang w:eastAsia="it-IT"/>
        </w:rPr>
        <w:t>- Il motivo non è fondato.</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 xml:space="preserve">Ribadita, sulla scorta dei rilievi che precedono, la congruenza e la idoneità dell’offerta alle scolpite condizioni di gara (e – segnatamente – la piena ammissibilità dell’assunzione dell’impegno alla realizzazione del contro cottura, anche in difetto di attuale disponibilità), l’attribuzione dei punteggi – in quanto parametrati al previo approntamento di un apparato criteriologico di non disconosciuta chiarezza, analiticità ed articolazione, come tale idoneo alla adeguata delimitazione del giudizio della commissione – non richiede, per un verso, il supporto di specifico corredo motivazionale ulteriormente esplicativo (cfr. Cons. Stato, sez. V, 8 marzo 2018, n. 1495) e concreta, per altro verso, apprezzamento tecnico-discrezionale insuscettibile di critica acquisizione sindacatoria in difetto di </w:t>
      </w:r>
      <w:r w:rsidRPr="00441FE6">
        <w:rPr>
          <w:rFonts w:ascii="Garamond" w:eastAsia="Times New Roman" w:hAnsi="Garamond" w:cs="Times New Roman"/>
          <w:sz w:val="30"/>
          <w:szCs w:val="30"/>
          <w:lang w:eastAsia="it-IT"/>
        </w:rPr>
        <w:lastRenderedPageBreak/>
        <w:t>emergenti profili di incoerenza, irragionevolezza, insufficienza o fattuale erroneità, non ricorrenti nella esaminata specie (cfr. Cons. Stato, sez. V, 18 luglio 2019, n. 5058).</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6.- Quanto all’ultimo motivo di gravame, con il quale si censura il capo della sentenza di prime cure di rigetto del subordinato motivo, incentrato sul cumulo in capo alla dott.ssa Danila Virili, dirigente dei sevizi formativi e sociali dell’Ente, delle funzioni di Presidente della Commissione giudicatrice e di RUP, vale, di là da ogni altro rilievo, osservare che, per comune intendimento, dal quale non si ravvisano ragioni per discostarsi, che non può essere ravvisata nessuna automatica incompatibilità tra le funzioni di RUP e quelle di componente della commissione giudicatrice di gara, a meno che non venga dimostrata in concreto l'incompatibilità tra i due ruoli, desumibile da una qualche comprovata ragione di interferenza e di condizionamento tra gli stessi; ciò, nell'ottica di una lettura dell'art. 77 comma 4 del D.Lgs. n. 50/2016 che si pone in continuità con l'indirizzo interpretativo formatosi sul comma 4 dell'art. 84 del pre</w:t>
      </w:r>
      <w:r>
        <w:rPr>
          <w:rFonts w:ascii="Garamond" w:eastAsia="Times New Roman" w:hAnsi="Garamond" w:cs="Times New Roman"/>
          <w:sz w:val="30"/>
          <w:szCs w:val="30"/>
          <w:lang w:eastAsia="it-IT"/>
        </w:rPr>
        <w:t>vigente d.</w:t>
      </w:r>
      <w:bookmarkStart w:id="0" w:name="_GoBack"/>
      <w:bookmarkEnd w:id="0"/>
      <w:r w:rsidRPr="00441FE6">
        <w:rPr>
          <w:rFonts w:ascii="Garamond" w:eastAsia="Times New Roman" w:hAnsi="Garamond" w:cs="Times New Roman"/>
          <w:sz w:val="30"/>
          <w:szCs w:val="30"/>
          <w:lang w:eastAsia="it-IT"/>
        </w:rPr>
        <w:t>lgs. n. 163/2006 (cfr. Cons. Stato, sez. III, 26 ottobre 2018, n.6082).</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7.- Alla luce delle considerazioni che precedono, l’appello va complessivamente respinto.</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Sussistono giustificate ragioni per disporre, tra le parti costituite, l’integrale compensazione di spese e competenze di lite.</w:t>
      </w:r>
    </w:p>
    <w:p w:rsidR="00441FE6" w:rsidRPr="00441FE6" w:rsidRDefault="00441FE6" w:rsidP="00441FE6">
      <w:pPr>
        <w:spacing w:after="0" w:line="540" w:lineRule="atLeast"/>
        <w:jc w:val="center"/>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P.Q.M.</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Il Consiglio di Stato in sede giurisdizionale (Sezione Quinta), definitivamente pronunciando sull'appello, come in epigrafe proposto, lo respinge.</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Spese compensate.</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Ordina che la presente sentenza sia eseguita dall'autorità amministrativa.</w:t>
      </w:r>
    </w:p>
    <w:p w:rsidR="00441FE6" w:rsidRPr="00441FE6" w:rsidRDefault="00441FE6" w:rsidP="00441FE6">
      <w:pPr>
        <w:spacing w:after="0" w:line="520" w:lineRule="atLeas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Così deciso in Roma nella camera di consiglio del giorno 6 dicembre 2018 con l'intervento dei magistrati:</w:t>
      </w:r>
    </w:p>
    <w:p w:rsidR="00441FE6" w:rsidRPr="00441FE6" w:rsidRDefault="00441FE6" w:rsidP="00441FE6">
      <w:pPr>
        <w:spacing w:after="0" w:line="520" w:lineRule="atLeast"/>
        <w:ind w:firstLine="567"/>
        <w:jc w:val="lef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lastRenderedPageBreak/>
        <w:t>Claudio Contessa, Presidente FF</w:t>
      </w:r>
    </w:p>
    <w:p w:rsidR="00441FE6" w:rsidRPr="00441FE6" w:rsidRDefault="00441FE6" w:rsidP="00441FE6">
      <w:pPr>
        <w:spacing w:after="0" w:line="520" w:lineRule="atLeast"/>
        <w:ind w:firstLine="567"/>
        <w:jc w:val="lef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Raffaele Prosperi, Consigliere</w:t>
      </w:r>
    </w:p>
    <w:p w:rsidR="00441FE6" w:rsidRPr="00441FE6" w:rsidRDefault="00441FE6" w:rsidP="00441FE6">
      <w:pPr>
        <w:spacing w:after="0" w:line="520" w:lineRule="atLeast"/>
        <w:ind w:firstLine="567"/>
        <w:jc w:val="lef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Angela Rotondano, Consigliere</w:t>
      </w:r>
    </w:p>
    <w:p w:rsidR="00441FE6" w:rsidRPr="00441FE6" w:rsidRDefault="00441FE6" w:rsidP="00441FE6">
      <w:pPr>
        <w:spacing w:after="0" w:line="520" w:lineRule="atLeast"/>
        <w:ind w:firstLine="567"/>
        <w:jc w:val="lef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Giovanni Grasso, Consigliere, Estensore</w:t>
      </w:r>
    </w:p>
    <w:p w:rsidR="00441FE6" w:rsidRPr="00441FE6" w:rsidRDefault="00441FE6" w:rsidP="00441FE6">
      <w:pPr>
        <w:spacing w:after="0" w:line="520" w:lineRule="atLeast"/>
        <w:ind w:firstLine="567"/>
        <w:jc w:val="left"/>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 xml:space="preserve">Giuseppina Luciana </w:t>
      </w:r>
      <w:proofErr w:type="spellStart"/>
      <w:r w:rsidRPr="00441FE6">
        <w:rPr>
          <w:rFonts w:ascii="Garamond" w:eastAsia="Times New Roman" w:hAnsi="Garamond" w:cs="Times New Roman"/>
          <w:sz w:val="30"/>
          <w:szCs w:val="30"/>
          <w:lang w:eastAsia="it-IT"/>
        </w:rPr>
        <w:t>Barreca</w:t>
      </w:r>
      <w:proofErr w:type="spellEnd"/>
      <w:r w:rsidRPr="00441FE6">
        <w:rPr>
          <w:rFonts w:ascii="Garamond" w:eastAsia="Times New Roman" w:hAnsi="Garamond" w:cs="Times New Roman"/>
          <w:sz w:val="30"/>
          <w:szCs w:val="30"/>
          <w:lang w:eastAsia="it-IT"/>
        </w:rPr>
        <w:t>, Consigliere</w:t>
      </w:r>
    </w:p>
    <w:tbl>
      <w:tblPr>
        <w:tblW w:w="5000" w:type="pct"/>
        <w:tblCellMar>
          <w:top w:w="15" w:type="dxa"/>
          <w:left w:w="15" w:type="dxa"/>
          <w:bottom w:w="15" w:type="dxa"/>
          <w:right w:w="15" w:type="dxa"/>
        </w:tblCellMar>
        <w:tblLook w:val="04A0"/>
      </w:tblPr>
      <w:tblGrid>
        <w:gridCol w:w="4633"/>
        <w:gridCol w:w="82"/>
        <w:gridCol w:w="4953"/>
      </w:tblGrid>
      <w:tr w:rsidR="00441FE6" w:rsidRPr="00441FE6" w:rsidTr="00441FE6">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r w:rsidRPr="00441FE6">
              <w:rPr>
                <w:rFonts w:ascii="Times New Roman" w:eastAsia="Times New Roman" w:hAnsi="Times New Roman" w:cs="Times New Roman"/>
                <w:b/>
                <w:bCs/>
                <w:sz w:val="28"/>
                <w:szCs w:val="28"/>
                <w:lang w:eastAsia="it-IT"/>
              </w:rPr>
              <w:t> </w:t>
            </w:r>
          </w:p>
        </w:tc>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sz w:val="20"/>
                <w:szCs w:val="20"/>
                <w:lang w:eastAsia="it-IT"/>
              </w:rPr>
            </w:pPr>
          </w:p>
        </w:tc>
      </w:tr>
      <w:tr w:rsidR="00441FE6" w:rsidRPr="00441FE6" w:rsidTr="00441FE6">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r w:rsidRPr="00441FE6">
              <w:rPr>
                <w:rFonts w:ascii="Times New Roman" w:eastAsia="Times New Roman" w:hAnsi="Times New Roman" w:cs="Times New Roman"/>
                <w:b/>
                <w:bCs/>
                <w:sz w:val="28"/>
                <w:szCs w:val="28"/>
                <w:lang w:eastAsia="it-IT"/>
              </w:rPr>
              <w:t> </w:t>
            </w:r>
          </w:p>
        </w:tc>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sz w:val="20"/>
                <w:szCs w:val="20"/>
                <w:lang w:eastAsia="it-IT"/>
              </w:rPr>
            </w:pPr>
          </w:p>
        </w:tc>
      </w:tr>
      <w:tr w:rsidR="00441FE6" w:rsidRPr="00441FE6" w:rsidTr="00441FE6">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r w:rsidRPr="00441FE6">
              <w:rPr>
                <w:rFonts w:ascii="Times New Roman" w:eastAsia="Times New Roman" w:hAnsi="Times New Roman" w:cs="Times New Roman"/>
                <w:b/>
                <w:bCs/>
                <w:sz w:val="28"/>
                <w:szCs w:val="28"/>
                <w:lang w:eastAsia="it-IT"/>
              </w:rPr>
              <w:t>L'ESTENSORE</w:t>
            </w:r>
          </w:p>
        </w:tc>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r w:rsidRPr="00441FE6">
              <w:rPr>
                <w:rFonts w:ascii="Times New Roman" w:eastAsia="Times New Roman" w:hAnsi="Times New Roman" w:cs="Times New Roman"/>
                <w:b/>
                <w:bCs/>
                <w:sz w:val="28"/>
                <w:szCs w:val="28"/>
                <w:lang w:eastAsia="it-IT"/>
              </w:rPr>
              <w:t>IL PRESIDENTE</w:t>
            </w:r>
          </w:p>
        </w:tc>
      </w:tr>
      <w:tr w:rsidR="00441FE6" w:rsidRPr="00441FE6" w:rsidTr="00441FE6">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r w:rsidRPr="00441FE6">
              <w:rPr>
                <w:rFonts w:ascii="Times New Roman" w:eastAsia="Times New Roman" w:hAnsi="Times New Roman" w:cs="Times New Roman"/>
                <w:b/>
                <w:bCs/>
                <w:sz w:val="28"/>
                <w:szCs w:val="28"/>
                <w:lang w:eastAsia="it-IT"/>
              </w:rPr>
              <w:t>Giovanni Grasso</w:t>
            </w:r>
          </w:p>
        </w:tc>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r w:rsidRPr="00441FE6">
              <w:rPr>
                <w:rFonts w:ascii="Times New Roman" w:eastAsia="Times New Roman" w:hAnsi="Times New Roman" w:cs="Times New Roman"/>
                <w:b/>
                <w:bCs/>
                <w:sz w:val="28"/>
                <w:szCs w:val="28"/>
                <w:lang w:eastAsia="it-IT"/>
              </w:rPr>
              <w:t>Claudio Contessa</w:t>
            </w:r>
          </w:p>
        </w:tc>
      </w:tr>
      <w:tr w:rsidR="00441FE6" w:rsidRPr="00441FE6" w:rsidTr="00441FE6">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r w:rsidRPr="00441FE6">
              <w:rPr>
                <w:rFonts w:ascii="Times New Roman" w:eastAsia="Times New Roman" w:hAnsi="Times New Roman" w:cs="Times New Roman"/>
                <w:b/>
                <w:bCs/>
                <w:sz w:val="28"/>
                <w:szCs w:val="28"/>
                <w:lang w:eastAsia="it-IT"/>
              </w:rPr>
              <w:t> </w:t>
            </w:r>
          </w:p>
        </w:tc>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sz w:val="20"/>
                <w:szCs w:val="20"/>
                <w:lang w:eastAsia="it-IT"/>
              </w:rPr>
            </w:pPr>
          </w:p>
        </w:tc>
      </w:tr>
      <w:tr w:rsidR="00441FE6" w:rsidRPr="00441FE6" w:rsidTr="00441FE6">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r w:rsidRPr="00441FE6">
              <w:rPr>
                <w:rFonts w:ascii="Times New Roman" w:eastAsia="Times New Roman" w:hAnsi="Times New Roman" w:cs="Times New Roman"/>
                <w:b/>
                <w:bCs/>
                <w:sz w:val="28"/>
                <w:szCs w:val="28"/>
                <w:lang w:eastAsia="it-IT"/>
              </w:rPr>
              <w:t> </w:t>
            </w:r>
          </w:p>
        </w:tc>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sz w:val="20"/>
                <w:szCs w:val="20"/>
                <w:lang w:eastAsia="it-IT"/>
              </w:rPr>
            </w:pPr>
          </w:p>
        </w:tc>
      </w:tr>
      <w:tr w:rsidR="00441FE6" w:rsidRPr="00441FE6" w:rsidTr="00441FE6">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r w:rsidRPr="00441FE6">
              <w:rPr>
                <w:rFonts w:ascii="Times New Roman" w:eastAsia="Times New Roman" w:hAnsi="Times New Roman" w:cs="Times New Roman"/>
                <w:b/>
                <w:bCs/>
                <w:sz w:val="28"/>
                <w:szCs w:val="28"/>
                <w:lang w:eastAsia="it-IT"/>
              </w:rPr>
              <w:t> </w:t>
            </w:r>
          </w:p>
        </w:tc>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sz w:val="20"/>
                <w:szCs w:val="20"/>
                <w:lang w:eastAsia="it-IT"/>
              </w:rPr>
            </w:pPr>
          </w:p>
        </w:tc>
      </w:tr>
      <w:tr w:rsidR="00441FE6" w:rsidRPr="00441FE6" w:rsidTr="00441FE6">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r w:rsidRPr="00441FE6">
              <w:rPr>
                <w:rFonts w:ascii="Times New Roman" w:eastAsia="Times New Roman" w:hAnsi="Times New Roman" w:cs="Times New Roman"/>
                <w:b/>
                <w:bCs/>
                <w:sz w:val="28"/>
                <w:szCs w:val="28"/>
                <w:lang w:eastAsia="it-IT"/>
              </w:rPr>
              <w:t> </w:t>
            </w:r>
          </w:p>
        </w:tc>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sz w:val="20"/>
                <w:szCs w:val="20"/>
                <w:lang w:eastAsia="it-IT"/>
              </w:rPr>
            </w:pPr>
          </w:p>
        </w:tc>
      </w:tr>
      <w:tr w:rsidR="00441FE6" w:rsidRPr="00441FE6" w:rsidTr="00441FE6">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r w:rsidRPr="00441FE6">
              <w:rPr>
                <w:rFonts w:ascii="Times New Roman" w:eastAsia="Times New Roman" w:hAnsi="Times New Roman" w:cs="Times New Roman"/>
                <w:b/>
                <w:bCs/>
                <w:sz w:val="28"/>
                <w:szCs w:val="28"/>
                <w:lang w:eastAsia="it-IT"/>
              </w:rPr>
              <w:t> </w:t>
            </w:r>
          </w:p>
        </w:tc>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41FE6" w:rsidRPr="00441FE6" w:rsidRDefault="00441FE6" w:rsidP="00441FE6">
            <w:pPr>
              <w:spacing w:after="0" w:line="240" w:lineRule="auto"/>
              <w:jc w:val="center"/>
              <w:rPr>
                <w:rFonts w:ascii="Times New Roman" w:eastAsia="Times New Roman" w:hAnsi="Times New Roman" w:cs="Times New Roman"/>
                <w:sz w:val="20"/>
                <w:szCs w:val="20"/>
                <w:lang w:eastAsia="it-IT"/>
              </w:rPr>
            </w:pPr>
          </w:p>
        </w:tc>
      </w:tr>
    </w:tbl>
    <w:p w:rsidR="00441FE6" w:rsidRPr="00441FE6" w:rsidRDefault="00441FE6" w:rsidP="00441FE6">
      <w:pPr>
        <w:spacing w:after="0" w:line="540" w:lineRule="atLeast"/>
        <w:jc w:val="center"/>
        <w:rPr>
          <w:rFonts w:ascii="Garamond" w:eastAsia="Times New Roman" w:hAnsi="Garamond" w:cs="Times New Roman"/>
          <w:sz w:val="30"/>
          <w:szCs w:val="30"/>
          <w:lang w:eastAsia="it-IT"/>
        </w:rPr>
      </w:pPr>
      <w:r w:rsidRPr="00441FE6">
        <w:rPr>
          <w:rFonts w:ascii="Garamond" w:eastAsia="Times New Roman" w:hAnsi="Garamond" w:cs="Times New Roman"/>
          <w:sz w:val="30"/>
          <w:szCs w:val="30"/>
          <w:lang w:eastAsia="it-IT"/>
        </w:rPr>
        <w:t>IL SEGRETARIO</w:t>
      </w:r>
    </w:p>
    <w:sectPr w:rsidR="00441FE6" w:rsidRPr="00441FE6" w:rsidSect="00A537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441FE6"/>
    <w:rsid w:val="00441FE6"/>
    <w:rsid w:val="00A53721"/>
    <w:rsid w:val="00C57AC5"/>
    <w:rsid w:val="00FB69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37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441FE6"/>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441FE6"/>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441FE6"/>
    <w:pPr>
      <w:spacing w:after="0" w:line="520" w:lineRule="atLeast"/>
    </w:pPr>
    <w:rPr>
      <w:rFonts w:ascii="Garamond" w:eastAsia="Times New Roman" w:hAnsi="Garamond" w:cs="Times New Roman"/>
      <w:sz w:val="30"/>
      <w:szCs w:val="30"/>
      <w:lang w:eastAsia="it-IT"/>
    </w:rPr>
  </w:style>
  <w:style w:type="paragraph" w:customStyle="1" w:styleId="sezione">
    <w:name w:val="sezione"/>
    <w:basedOn w:val="Normale"/>
    <w:rsid w:val="00441FE6"/>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441FE6"/>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441FE6"/>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441FE6"/>
    <w:pPr>
      <w:spacing w:after="0" w:line="520" w:lineRule="atLeast"/>
      <w:ind w:firstLine="567"/>
      <w:jc w:val="left"/>
    </w:pPr>
    <w:rPr>
      <w:rFonts w:ascii="Garamond" w:eastAsia="Times New Roman" w:hAnsi="Garamond" w:cs="Times New Roman"/>
      <w:sz w:val="30"/>
      <w:szCs w:val="30"/>
      <w:lang w:eastAsia="it-IT"/>
    </w:rPr>
  </w:style>
  <w:style w:type="paragraph" w:customStyle="1" w:styleId="fatto">
    <w:name w:val="fatto"/>
    <w:basedOn w:val="Normale"/>
    <w:rsid w:val="00441FE6"/>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C57A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7A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4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2500</Words>
  <Characters>14256</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Filippo Amedeo</dc:creator>
  <cp:keywords/>
  <dc:description/>
  <cp:lastModifiedBy>Amedeo</cp:lastModifiedBy>
  <cp:revision>2</cp:revision>
  <dcterms:created xsi:type="dcterms:W3CDTF">2019-07-30T08:09:00Z</dcterms:created>
  <dcterms:modified xsi:type="dcterms:W3CDTF">2019-07-30T15:43:00Z</dcterms:modified>
</cp:coreProperties>
</file>