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A9" w:rsidRDefault="00D66FA9" w:rsidP="00D66FA9">
      <w:pPr>
        <w:shd w:val="clear" w:color="auto" w:fill="FFFFFF"/>
        <w:spacing w:after="150" w:line="240" w:lineRule="auto"/>
        <w:jc w:val="center"/>
        <w:outlineLvl w:val="1"/>
        <w:rPr>
          <w:rFonts w:ascii="Helvetica" w:eastAsia="Times New Roman" w:hAnsi="Helvetica" w:cs="Arial"/>
          <w:b/>
          <w:bCs/>
          <w:color w:val="222222"/>
          <w:sz w:val="33"/>
          <w:szCs w:val="33"/>
          <w:lang w:eastAsia="it-IT"/>
        </w:rPr>
      </w:pPr>
      <w:r>
        <w:rPr>
          <w:rFonts w:ascii="Helvetica" w:eastAsia="Times New Roman" w:hAnsi="Helvetica" w:cs="Arial"/>
          <w:b/>
          <w:bCs/>
          <w:color w:val="222222"/>
          <w:sz w:val="33"/>
          <w:szCs w:val="33"/>
          <w:lang w:eastAsia="it-IT"/>
        </w:rPr>
        <w:t>IFEL</w:t>
      </w:r>
    </w:p>
    <w:p w:rsidR="00D66FA9" w:rsidRPr="00D66FA9" w:rsidRDefault="00D66FA9" w:rsidP="00D66FA9">
      <w:pPr>
        <w:rPr>
          <w:b/>
          <w:lang w:eastAsia="it-IT"/>
        </w:rPr>
      </w:pPr>
      <w:proofErr w:type="spellStart"/>
      <w:r w:rsidRPr="00D66FA9">
        <w:rPr>
          <w:b/>
          <w:lang w:eastAsia="it-IT"/>
        </w:rPr>
        <w:t>SIOPE+</w:t>
      </w:r>
      <w:proofErr w:type="spellEnd"/>
      <w:r w:rsidRPr="00D66FA9">
        <w:rPr>
          <w:b/>
          <w:lang w:eastAsia="it-IT"/>
        </w:rPr>
        <w:t xml:space="preserve"> - L’avvio nel 2018 per i Comuni e le Città Metropolitane </w:t>
      </w:r>
    </w:p>
    <w:p w:rsidR="00D66FA9" w:rsidRPr="00D66FA9" w:rsidRDefault="00D66FA9" w:rsidP="00D66FA9">
      <w:pPr>
        <w:rPr>
          <w:lang w:eastAsia="it-IT"/>
        </w:rPr>
      </w:pPr>
      <w:r w:rsidRPr="00D66FA9">
        <w:rPr>
          <w:lang w:eastAsia="it-IT"/>
        </w:rPr>
        <w:t xml:space="preserve">02 </w:t>
      </w:r>
      <w:proofErr w:type="spellStart"/>
      <w:r w:rsidRPr="00D66FA9">
        <w:rPr>
          <w:lang w:eastAsia="it-IT"/>
        </w:rPr>
        <w:t>Nov</w:t>
      </w:r>
      <w:proofErr w:type="spellEnd"/>
      <w:r w:rsidRPr="00D66FA9">
        <w:rPr>
          <w:lang w:eastAsia="it-IT"/>
        </w:rPr>
        <w:t xml:space="preserve">, 2017 </w:t>
      </w:r>
    </w:p>
    <w:p w:rsidR="00D66FA9" w:rsidRPr="00D66FA9" w:rsidRDefault="00D66FA9" w:rsidP="00D66FA9">
      <w:pPr>
        <w:shd w:val="clear" w:color="auto" w:fill="FFFFFF"/>
        <w:spacing w:after="360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 xml:space="preserve">L’art. 1, comma 533, della legge 232 del 2016 (legge di bilancio 2017), prevede un intervento di sviluppo del SIOPE, denominato </w:t>
      </w:r>
      <w:proofErr w:type="spellStart"/>
      <w:r w:rsidRPr="00D66FA9">
        <w:rPr>
          <w:rFonts w:ascii="Helvetica" w:eastAsia="Times New Roman" w:hAnsi="Helvetica" w:cs="Arial"/>
          <w:b/>
          <w:bCs/>
          <w:color w:val="777777"/>
          <w:sz w:val="24"/>
          <w:szCs w:val="24"/>
          <w:lang w:eastAsia="it-IT"/>
        </w:rPr>
        <w:t>SIOPE+</w:t>
      </w:r>
      <w:proofErr w:type="spellEnd"/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, che ha l’obiettivo di migliorare il monitoraggio dei tempi di pagamento dei debiti commerciali delle amministrazioni pubbliche, demandando la definizione delle modalità e dei tempi di attuazione a successivi decreti del Ministero dell’economia e delle finanze.</w:t>
      </w:r>
    </w:p>
    <w:p w:rsidR="00D66FA9" w:rsidRPr="00D66FA9" w:rsidRDefault="00D66FA9" w:rsidP="00D66FA9">
      <w:pPr>
        <w:shd w:val="clear" w:color="auto" w:fill="FFFFFF"/>
        <w:spacing w:after="360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 xml:space="preserve">Finora la decretazione attuativa ha disciplinato, come prime applicazioni di </w:t>
      </w:r>
      <w:proofErr w:type="spellStart"/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SIOPE+</w:t>
      </w:r>
      <w:proofErr w:type="spellEnd"/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, una sperimentazione, articolata in due fasi e l’avvio a regime per Regioni, Province, Città Metropolitane, Comuni e aziende sanitarie e ospedaliere, che, tuttavia, dovrà tener conto dei risultati della sperimentazione, ancora in corso. </w:t>
      </w:r>
    </w:p>
    <w:p w:rsidR="00D66FA9" w:rsidRPr="00D66FA9" w:rsidRDefault="00D66FA9" w:rsidP="00D66FA9">
      <w:pPr>
        <w:shd w:val="clear" w:color="auto" w:fill="FFFFFF"/>
        <w:spacing w:after="360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In particolare, ad oggi, sono previsti:</w:t>
      </w:r>
    </w:p>
    <w:p w:rsidR="00D66FA9" w:rsidRPr="00D66FA9" w:rsidRDefault="00D66FA9" w:rsidP="00D66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la sperimentazione-fase1 dal 1° luglio 2017 per 7 enti di cui 5 Comuni;</w:t>
      </w:r>
    </w:p>
    <w:p w:rsidR="00D66FA9" w:rsidRPr="00D66FA9" w:rsidRDefault="00D66FA9" w:rsidP="00D66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la sperimentazione-fase2 dal 1° ottobre 2017 per 23 enti, di cui 17 Comuni e 1 Città Metropolitana;</w:t>
      </w:r>
    </w:p>
    <w:p w:rsidR="00D66FA9" w:rsidRPr="00D66FA9" w:rsidRDefault="00D66FA9" w:rsidP="00D66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l’avvio a regime dal 1°gennaio 2018 per tutte le Regioni e le Province autonome, le Città Metropolitane e le Province;</w:t>
      </w:r>
    </w:p>
    <w:p w:rsidR="00D66FA9" w:rsidRPr="00D66FA9" w:rsidRDefault="00D66FA9" w:rsidP="00D66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 xml:space="preserve">l’avvio a regime dal 1° aprile 2018 per </w:t>
      </w:r>
      <w:hyperlink r:id="rId5" w:tgtFrame="_blank" w:history="1">
        <w:r w:rsidRPr="00D66FA9">
          <w:rPr>
            <w:rFonts w:ascii="Helvetica" w:eastAsia="Times New Roman" w:hAnsi="Helvetica" w:cs="Arial"/>
            <w:b/>
            <w:bCs/>
            <w:color w:val="00577C"/>
            <w:sz w:val="24"/>
            <w:szCs w:val="24"/>
            <w:lang w:eastAsia="it-IT"/>
          </w:rPr>
          <w:t>Comuni oltre 60.000 abitanti</w:t>
        </w:r>
      </w:hyperlink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;</w:t>
      </w:r>
    </w:p>
    <w:p w:rsidR="00D66FA9" w:rsidRPr="00D66FA9" w:rsidRDefault="00D66FA9" w:rsidP="00D66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 xml:space="preserve">l’avvio a regime dal 1° luglio 2018 per </w:t>
      </w:r>
      <w:hyperlink r:id="rId6" w:tgtFrame="_blank" w:history="1">
        <w:r w:rsidRPr="00D66FA9">
          <w:rPr>
            <w:rFonts w:ascii="Helvetica" w:eastAsia="Times New Roman" w:hAnsi="Helvetica" w:cs="Arial"/>
            <w:b/>
            <w:bCs/>
            <w:color w:val="00577C"/>
            <w:sz w:val="24"/>
            <w:szCs w:val="24"/>
            <w:lang w:eastAsia="it-IT"/>
          </w:rPr>
          <w:t>Comuni da 10.001 a 60.000 abitanti</w:t>
        </w:r>
      </w:hyperlink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;</w:t>
      </w:r>
    </w:p>
    <w:p w:rsidR="00D66FA9" w:rsidRPr="00D66FA9" w:rsidRDefault="00D66FA9" w:rsidP="00D66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 xml:space="preserve">l’avvio a regime dal 1° ottobre 2018 per </w:t>
      </w:r>
      <w:hyperlink r:id="rId7" w:tgtFrame="_blank" w:history="1">
        <w:r w:rsidRPr="00D66FA9">
          <w:rPr>
            <w:rFonts w:ascii="Helvetica" w:eastAsia="Times New Roman" w:hAnsi="Helvetica" w:cs="Arial"/>
            <w:b/>
            <w:bCs/>
            <w:color w:val="00577C"/>
            <w:sz w:val="24"/>
            <w:szCs w:val="24"/>
            <w:lang w:eastAsia="it-IT"/>
          </w:rPr>
          <w:t>Comuni fino a 10.000 abitanti</w:t>
        </w:r>
      </w:hyperlink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;</w:t>
      </w:r>
    </w:p>
    <w:p w:rsidR="00D66FA9" w:rsidRPr="00D66FA9" w:rsidRDefault="00D66FA9" w:rsidP="00D66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l’avvio a regime dal 1° gennaio 2019 per i </w:t>
      </w:r>
      <w:hyperlink r:id="rId8" w:tgtFrame="_blank" w:history="1">
        <w:r w:rsidRPr="00D66FA9">
          <w:rPr>
            <w:rFonts w:ascii="Helvetica" w:eastAsia="Times New Roman" w:hAnsi="Helvetica" w:cs="Arial"/>
            <w:b/>
            <w:bCs/>
            <w:color w:val="00577C"/>
            <w:sz w:val="24"/>
            <w:szCs w:val="24"/>
            <w:lang w:eastAsia="it-IT"/>
          </w:rPr>
          <w:t>Comuni colpiti dagli eventi sismici</w:t>
        </w:r>
      </w:hyperlink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 xml:space="preserve"> verificatisi a far data dal 24 agosto 2016;</w:t>
      </w:r>
    </w:p>
    <w:p w:rsidR="00D66FA9" w:rsidRPr="00D66FA9" w:rsidRDefault="00D66FA9" w:rsidP="00D66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l’avvio a regime dal 1° ottobre 2018 per le aziende sanitarie e ospedaliere.</w:t>
      </w:r>
    </w:p>
    <w:p w:rsidR="00D66FA9" w:rsidRPr="00D66FA9" w:rsidRDefault="00D66FA9" w:rsidP="00D66FA9">
      <w:pPr>
        <w:shd w:val="clear" w:color="auto" w:fill="FFFFFF"/>
        <w:spacing w:after="360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Le amministrazioni pubbliche dovranno colloquiare con il proprio tesoriere:</w:t>
      </w:r>
    </w:p>
    <w:p w:rsidR="00D66FA9" w:rsidRPr="00D66FA9" w:rsidRDefault="00D66FA9" w:rsidP="00D66F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utilizzando ordinativi informatici emessi secondo lo </w:t>
      </w:r>
      <w:hyperlink r:id="rId9" w:tgtFrame="_blank" w:history="1">
        <w:r w:rsidRPr="00D66FA9">
          <w:rPr>
            <w:rFonts w:ascii="Helvetica" w:eastAsia="Times New Roman" w:hAnsi="Helvetica" w:cs="Arial"/>
            <w:b/>
            <w:bCs/>
            <w:color w:val="00577C"/>
            <w:sz w:val="24"/>
            <w:szCs w:val="24"/>
            <w:lang w:eastAsia="it-IT"/>
          </w:rPr>
          <w:t>standard OPI</w:t>
        </w:r>
      </w:hyperlink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 xml:space="preserve"> (Ordinativo di Pagamento e Incasso) e gli </w:t>
      </w:r>
      <w:hyperlink r:id="rId10" w:tgtFrame="_blank" w:history="1">
        <w:r w:rsidRPr="00D66FA9">
          <w:rPr>
            <w:rFonts w:ascii="Helvetica" w:eastAsia="Times New Roman" w:hAnsi="Helvetica" w:cs="Arial"/>
            <w:b/>
            <w:bCs/>
            <w:color w:val="00577C"/>
            <w:sz w:val="24"/>
            <w:szCs w:val="24"/>
            <w:lang w:eastAsia="it-IT"/>
          </w:rPr>
          <w:t>Schemi XSD</w:t>
        </w:r>
      </w:hyperlink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, emanati dall’Agenzia per l’Italia Digitale (</w:t>
      </w:r>
      <w:proofErr w:type="spellStart"/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AgID</w:t>
      </w:r>
      <w:proofErr w:type="spellEnd"/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);</w:t>
      </w:r>
    </w:p>
    <w:p w:rsidR="00D66FA9" w:rsidRPr="00D66FA9" w:rsidRDefault="00D66FA9" w:rsidP="00D66F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 xml:space="preserve">trasmettendo gli ordinativi per il tramite dell’infrastruttura </w:t>
      </w:r>
      <w:proofErr w:type="spellStart"/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SIOPE+</w:t>
      </w:r>
      <w:proofErr w:type="spellEnd"/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 xml:space="preserve"> e nel rispetto delle </w:t>
      </w:r>
      <w:hyperlink r:id="rId11" w:tgtFrame="_blank" w:history="1">
        <w:r w:rsidRPr="00D66FA9">
          <w:rPr>
            <w:rFonts w:ascii="Helvetica" w:eastAsia="Times New Roman" w:hAnsi="Helvetica" w:cs="Arial"/>
            <w:b/>
            <w:bCs/>
            <w:color w:val="00577C"/>
            <w:sz w:val="24"/>
            <w:szCs w:val="24"/>
            <w:lang w:eastAsia="it-IT"/>
          </w:rPr>
          <w:t>regole di colloquio</w:t>
        </w:r>
      </w:hyperlink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 xml:space="preserve"> definite da MEF, Banca d’Italia ed </w:t>
      </w:r>
      <w:proofErr w:type="spellStart"/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AgID</w:t>
      </w:r>
      <w:proofErr w:type="spellEnd"/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.</w:t>
      </w:r>
    </w:p>
    <w:p w:rsidR="00D66FA9" w:rsidRPr="00D66FA9" w:rsidRDefault="00D66FA9" w:rsidP="00D66FA9">
      <w:pPr>
        <w:shd w:val="clear" w:color="auto" w:fill="FFFFFF"/>
        <w:spacing w:after="360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 xml:space="preserve">L’avvio a regime, per gli enti non sperimentatori, è subordinato al superamento di alcune attività di collaudo (cfr. </w:t>
      </w:r>
      <w:hyperlink r:id="rId12" w:tgtFrame="_blank" w:history="1">
        <w:r w:rsidRPr="00D66FA9">
          <w:rPr>
            <w:rFonts w:ascii="Helvetica" w:eastAsia="Times New Roman" w:hAnsi="Helvetica" w:cs="Arial"/>
            <w:b/>
            <w:bCs/>
            <w:color w:val="00577C"/>
            <w:sz w:val="24"/>
            <w:szCs w:val="24"/>
            <w:lang w:eastAsia="it-IT"/>
          </w:rPr>
          <w:t>Piano di Collaudo</w:t>
        </w:r>
      </w:hyperlink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) che possono essere svolte a partire da tre mesi prima dell’avvio a regime previsto per ciascun comparto di enti. Le Regioni, le Città Metropolitane e le Province, invece, disporranno dell’ambiente di collaudo a partire dal 1° novembre 2017 e, quindi, potranno effettuare i test da due mesi prima dell’avvio a regime.</w:t>
      </w:r>
    </w:p>
    <w:p w:rsidR="00D66FA9" w:rsidRPr="00D66FA9" w:rsidRDefault="00D66FA9" w:rsidP="00D66FA9">
      <w:pPr>
        <w:rPr>
          <w:b/>
          <w:lang w:eastAsia="it-IT"/>
        </w:rPr>
      </w:pPr>
      <w:r w:rsidRPr="00D66FA9">
        <w:rPr>
          <w:b/>
          <w:lang w:eastAsia="it-IT"/>
        </w:rPr>
        <w:t>Documentazione tecnica</w:t>
      </w:r>
    </w:p>
    <w:p w:rsidR="00D66FA9" w:rsidRPr="00D66FA9" w:rsidRDefault="00D66FA9" w:rsidP="00D66FA9">
      <w:pPr>
        <w:rPr>
          <w:b/>
          <w:lang w:eastAsia="it-IT"/>
        </w:rPr>
      </w:pPr>
      <w:r w:rsidRPr="00D66FA9">
        <w:rPr>
          <w:b/>
          <w:lang w:eastAsia="it-IT"/>
        </w:rPr>
        <w:t xml:space="preserve">- </w:t>
      </w:r>
      <w:hyperlink r:id="rId13" w:tgtFrame="_blank" w:history="1">
        <w:r w:rsidRPr="00D66FA9">
          <w:rPr>
            <w:b/>
            <w:color w:val="00577C"/>
            <w:lang w:eastAsia="it-IT"/>
          </w:rPr>
          <w:t>Regole di colloquio</w:t>
        </w:r>
      </w:hyperlink>
      <w:r w:rsidRPr="00D66FA9">
        <w:rPr>
          <w:b/>
          <w:lang w:eastAsia="it-IT"/>
        </w:rPr>
        <w:br/>
        <w:t xml:space="preserve">- </w:t>
      </w:r>
      <w:hyperlink r:id="rId14" w:tgtFrame="_blank" w:history="1">
        <w:r w:rsidRPr="00D66FA9">
          <w:rPr>
            <w:b/>
            <w:color w:val="00577C"/>
            <w:lang w:eastAsia="it-IT"/>
          </w:rPr>
          <w:t xml:space="preserve">Manuale per la registrazione e autenticazione a </w:t>
        </w:r>
        <w:proofErr w:type="spellStart"/>
        <w:r w:rsidRPr="00D66FA9">
          <w:rPr>
            <w:b/>
            <w:color w:val="00577C"/>
            <w:lang w:eastAsia="it-IT"/>
          </w:rPr>
          <w:t>SIOPE+</w:t>
        </w:r>
        <w:proofErr w:type="spellEnd"/>
      </w:hyperlink>
      <w:r w:rsidRPr="00D66FA9">
        <w:rPr>
          <w:b/>
          <w:u w:val="single"/>
          <w:lang w:eastAsia="it-IT"/>
        </w:rPr>
        <w:t xml:space="preserve"> </w:t>
      </w:r>
      <w:r w:rsidRPr="00D66FA9">
        <w:rPr>
          <w:b/>
          <w:lang w:eastAsia="it-IT"/>
        </w:rPr>
        <w:br/>
        <w:t xml:space="preserve">- </w:t>
      </w:r>
      <w:hyperlink r:id="rId15" w:tgtFrame="_blank" w:history="1">
        <w:r w:rsidRPr="00D66FA9">
          <w:rPr>
            <w:b/>
            <w:color w:val="00577C"/>
            <w:lang w:eastAsia="it-IT"/>
          </w:rPr>
          <w:t>Guida alla registrazione del codice A2A nella PCC</w:t>
        </w:r>
      </w:hyperlink>
      <w:r w:rsidRPr="00D66FA9">
        <w:rPr>
          <w:b/>
          <w:u w:val="single"/>
          <w:lang w:eastAsia="it-IT"/>
        </w:rPr>
        <w:t xml:space="preserve"> </w:t>
      </w:r>
      <w:r w:rsidRPr="00D66FA9">
        <w:rPr>
          <w:b/>
          <w:lang w:eastAsia="it-IT"/>
        </w:rPr>
        <w:br/>
      </w:r>
      <w:r w:rsidRPr="00D66FA9">
        <w:rPr>
          <w:b/>
          <w:lang w:eastAsia="it-IT"/>
        </w:rPr>
        <w:lastRenderedPageBreak/>
        <w:t xml:space="preserve">- </w:t>
      </w:r>
      <w:hyperlink r:id="rId16" w:tgtFrame="_blank" w:history="1">
        <w:r w:rsidRPr="00D66FA9">
          <w:rPr>
            <w:b/>
            <w:color w:val="00577C"/>
            <w:lang w:eastAsia="it-IT"/>
          </w:rPr>
          <w:t xml:space="preserve">Linee Guida per lo sfruttamento ottimale dell’interfaccia A2A di </w:t>
        </w:r>
        <w:proofErr w:type="spellStart"/>
        <w:r w:rsidRPr="00D66FA9">
          <w:rPr>
            <w:b/>
            <w:color w:val="00577C"/>
            <w:lang w:eastAsia="it-IT"/>
          </w:rPr>
          <w:t>SIOPE+</w:t>
        </w:r>
        <w:proofErr w:type="spellEnd"/>
      </w:hyperlink>
      <w:r w:rsidRPr="00D66FA9">
        <w:rPr>
          <w:b/>
          <w:u w:val="single"/>
          <w:lang w:eastAsia="it-IT"/>
        </w:rPr>
        <w:t xml:space="preserve"> </w:t>
      </w:r>
      <w:r w:rsidRPr="00D66FA9">
        <w:rPr>
          <w:b/>
          <w:lang w:eastAsia="it-IT"/>
        </w:rPr>
        <w:br/>
        <w:t xml:space="preserve">- </w:t>
      </w:r>
      <w:hyperlink r:id="rId17" w:tgtFrame="_blank" w:history="1">
        <w:r w:rsidRPr="00D66FA9">
          <w:rPr>
            <w:b/>
            <w:color w:val="00577C"/>
            <w:lang w:eastAsia="it-IT"/>
          </w:rPr>
          <w:t xml:space="preserve">Piano di collaudo per l’avvio di </w:t>
        </w:r>
        <w:proofErr w:type="spellStart"/>
        <w:r w:rsidRPr="00D66FA9">
          <w:rPr>
            <w:b/>
            <w:color w:val="00577C"/>
            <w:lang w:eastAsia="it-IT"/>
          </w:rPr>
          <w:t>SIOPE+</w:t>
        </w:r>
        <w:proofErr w:type="spellEnd"/>
        <w:r w:rsidRPr="00D66FA9">
          <w:rPr>
            <w:b/>
            <w:color w:val="00577C"/>
            <w:lang w:eastAsia="it-IT"/>
          </w:rPr>
          <w:t xml:space="preserve"> nel 2018</w:t>
        </w:r>
      </w:hyperlink>
      <w:r w:rsidRPr="00D66FA9">
        <w:rPr>
          <w:b/>
          <w:u w:val="single"/>
          <w:lang w:eastAsia="it-IT"/>
        </w:rPr>
        <w:t xml:space="preserve"> </w:t>
      </w:r>
      <w:r w:rsidRPr="00D66FA9">
        <w:rPr>
          <w:b/>
          <w:lang w:eastAsia="it-IT"/>
        </w:rPr>
        <w:br/>
        <w:t xml:space="preserve">- </w:t>
      </w:r>
      <w:hyperlink r:id="rId18" w:tgtFrame="_blank" w:history="1">
        <w:r w:rsidRPr="00D66FA9">
          <w:rPr>
            <w:b/>
            <w:color w:val="00577C"/>
            <w:lang w:eastAsia="it-IT"/>
          </w:rPr>
          <w:t>Standard OPI</w:t>
        </w:r>
      </w:hyperlink>
      <w:r w:rsidRPr="00D66FA9">
        <w:rPr>
          <w:b/>
          <w:u w:val="single"/>
          <w:lang w:eastAsia="it-IT"/>
        </w:rPr>
        <w:t xml:space="preserve"> </w:t>
      </w:r>
      <w:r w:rsidRPr="00D66FA9">
        <w:rPr>
          <w:b/>
          <w:lang w:eastAsia="it-IT"/>
        </w:rPr>
        <w:br/>
        <w:t xml:space="preserve">- </w:t>
      </w:r>
      <w:hyperlink r:id="rId19" w:tgtFrame="_blank" w:history="1">
        <w:r w:rsidRPr="00D66FA9">
          <w:rPr>
            <w:b/>
            <w:color w:val="00577C"/>
            <w:lang w:eastAsia="it-IT"/>
          </w:rPr>
          <w:t>Schemi XSD</w:t>
        </w:r>
      </w:hyperlink>
    </w:p>
    <w:p w:rsidR="00D66FA9" w:rsidRPr="00D66FA9" w:rsidRDefault="00D66FA9" w:rsidP="00D66FA9">
      <w:pPr>
        <w:shd w:val="clear" w:color="auto" w:fill="FFFFFF"/>
        <w:spacing w:after="360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b/>
          <w:bCs/>
          <w:color w:val="777777"/>
          <w:sz w:val="24"/>
          <w:szCs w:val="24"/>
          <w:lang w:eastAsia="it-IT"/>
        </w:rPr>
        <w:t>Strumenti di supporto</w:t>
      </w:r>
    </w:p>
    <w:p w:rsidR="00D66FA9" w:rsidRPr="00D66FA9" w:rsidRDefault="00D66FA9" w:rsidP="00D66FA9">
      <w:pPr>
        <w:rPr>
          <w:b/>
          <w:lang w:eastAsia="it-IT"/>
        </w:rPr>
      </w:pPr>
      <w:r w:rsidRPr="00D66FA9">
        <w:rPr>
          <w:lang w:eastAsia="it-IT"/>
        </w:rPr>
        <w:t xml:space="preserve">- </w:t>
      </w:r>
      <w:hyperlink r:id="rId20" w:tgtFrame="_blank" w:history="1">
        <w:r w:rsidRPr="00D66FA9">
          <w:rPr>
            <w:color w:val="00577C"/>
            <w:lang w:eastAsia="it-IT"/>
          </w:rPr>
          <w:t xml:space="preserve">FAQ riguardanti la registrazione e l’autenticazione a </w:t>
        </w:r>
        <w:proofErr w:type="spellStart"/>
        <w:r w:rsidRPr="00D66FA9">
          <w:rPr>
            <w:color w:val="00577C"/>
            <w:lang w:eastAsia="it-IT"/>
          </w:rPr>
          <w:t>SIOPE+</w:t>
        </w:r>
        <w:proofErr w:type="spellEnd"/>
      </w:hyperlink>
      <w:r w:rsidRPr="00D66FA9">
        <w:rPr>
          <w:lang w:eastAsia="it-IT"/>
        </w:rPr>
        <w:br/>
        <w:t xml:space="preserve">- </w:t>
      </w:r>
      <w:hyperlink r:id="rId21" w:tgtFrame="_blank" w:history="1">
        <w:r w:rsidRPr="00D66FA9">
          <w:rPr>
            <w:color w:val="00577C"/>
            <w:lang w:eastAsia="it-IT"/>
          </w:rPr>
          <w:t xml:space="preserve">WEBINAR – Da SIOPE a </w:t>
        </w:r>
        <w:proofErr w:type="spellStart"/>
        <w:r w:rsidRPr="00D66FA9">
          <w:rPr>
            <w:color w:val="00577C"/>
            <w:lang w:eastAsia="it-IT"/>
          </w:rPr>
          <w:t>SIOPE+</w:t>
        </w:r>
        <w:proofErr w:type="spellEnd"/>
        <w:r w:rsidRPr="00D66FA9">
          <w:rPr>
            <w:color w:val="00577C"/>
            <w:lang w:eastAsia="it-IT"/>
          </w:rPr>
          <w:t>: il monitoraggio dei tempi di pagamento della PA</w:t>
        </w:r>
      </w:hyperlink>
      <w:r w:rsidRPr="00D66FA9">
        <w:rPr>
          <w:lang w:eastAsia="it-IT"/>
        </w:rPr>
        <w:t xml:space="preserve"> </w:t>
      </w:r>
      <w:r w:rsidRPr="00D66FA9">
        <w:rPr>
          <w:lang w:eastAsia="it-IT"/>
        </w:rPr>
        <w:br/>
      </w:r>
      <w:r w:rsidRPr="00D66FA9">
        <w:rPr>
          <w:b/>
          <w:lang w:eastAsia="it-IT"/>
        </w:rPr>
        <w:t xml:space="preserve">- </w:t>
      </w:r>
      <w:hyperlink r:id="rId22" w:tgtFrame="_blank" w:history="1">
        <w:r w:rsidRPr="00D66FA9">
          <w:rPr>
            <w:b/>
            <w:color w:val="00577C"/>
            <w:lang w:eastAsia="it-IT"/>
          </w:rPr>
          <w:t xml:space="preserve">WEBINAR - </w:t>
        </w:r>
        <w:proofErr w:type="spellStart"/>
        <w:r w:rsidRPr="00D66FA9">
          <w:rPr>
            <w:b/>
            <w:color w:val="00577C"/>
            <w:lang w:eastAsia="it-IT"/>
          </w:rPr>
          <w:t>SIOPE+</w:t>
        </w:r>
        <w:proofErr w:type="spellEnd"/>
        <w:r w:rsidRPr="00D66FA9">
          <w:rPr>
            <w:b/>
            <w:color w:val="00577C"/>
            <w:lang w:eastAsia="it-IT"/>
          </w:rPr>
          <w:t>: il servizio OPI gratuito</w:t>
        </w:r>
      </w:hyperlink>
      <w:r w:rsidRPr="00D66FA9">
        <w:rPr>
          <w:b/>
          <w:lang w:eastAsia="it-IT"/>
        </w:rPr>
        <w:t xml:space="preserve"> </w:t>
      </w:r>
    </w:p>
    <w:p w:rsidR="00D66FA9" w:rsidRPr="00D66FA9" w:rsidRDefault="00D66FA9" w:rsidP="00D66FA9">
      <w:pPr>
        <w:rPr>
          <w:b/>
          <w:lang w:eastAsia="it-IT"/>
        </w:rPr>
      </w:pPr>
      <w:r w:rsidRPr="00D66FA9">
        <w:rPr>
          <w:b/>
          <w:lang w:eastAsia="it-IT"/>
        </w:rPr>
        <w:t>Per maggiori informazioni: </w:t>
      </w:r>
      <w:hyperlink r:id="rId23" w:tgtFrame="_blank" w:history="1">
        <w:r w:rsidRPr="00D66FA9">
          <w:rPr>
            <w:b/>
            <w:vanish/>
            <w:color w:val="00577C"/>
            <w:lang w:eastAsia="it-IT"/>
          </w:rPr>
          <w:t>siopeplus@fondazioneifel.it</w:t>
        </w:r>
      </w:hyperlink>
      <w:r w:rsidRPr="00D66FA9">
        <w:rPr>
          <w:b/>
          <w:lang w:eastAsia="it-IT"/>
        </w:rPr>
        <w:t xml:space="preserve"> </w:t>
      </w:r>
    </w:p>
    <w:p w:rsidR="00D66FA9" w:rsidRPr="00D66FA9" w:rsidRDefault="00D66FA9" w:rsidP="00D66FA9">
      <w:pPr>
        <w:rPr>
          <w:b/>
          <w:lang w:eastAsia="it-IT"/>
        </w:rPr>
      </w:pPr>
      <w:r w:rsidRPr="00D66FA9">
        <w:rPr>
          <w:b/>
          <w:lang w:eastAsia="it-IT"/>
        </w:rPr>
        <w:t>Normativa</w:t>
      </w:r>
    </w:p>
    <w:p w:rsidR="00D66FA9" w:rsidRPr="00D66FA9" w:rsidRDefault="00D66FA9" w:rsidP="00D66FA9">
      <w:pPr>
        <w:shd w:val="clear" w:color="auto" w:fill="FFFFFF"/>
        <w:spacing w:after="360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 xml:space="preserve">Art. 1, </w:t>
      </w:r>
      <w:proofErr w:type="spellStart"/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co</w:t>
      </w:r>
      <w:proofErr w:type="spellEnd"/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t>. 533 della legge 232 del 2016 (legge istitutiva):</w:t>
      </w:r>
    </w:p>
    <w:p w:rsidR="00D66FA9" w:rsidRPr="00D66FA9" w:rsidRDefault="00D66FA9" w:rsidP="00D66FA9">
      <w:pPr>
        <w:shd w:val="clear" w:color="auto" w:fill="FFFFFF"/>
        <w:spacing w:after="360" w:line="240" w:lineRule="auto"/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</w:pPr>
      <w:r w:rsidRPr="00D66FA9">
        <w:rPr>
          <w:rFonts w:ascii="Helvetica" w:eastAsia="Times New Roman" w:hAnsi="Helvetica" w:cs="Arial"/>
          <w:i/>
          <w:iCs/>
          <w:color w:val="777777"/>
          <w:sz w:val="24"/>
          <w:szCs w:val="24"/>
          <w:lang w:eastAsia="it-IT"/>
        </w:rPr>
        <w:t>533. All'articolo 14 della legge 31 dicembre 2009, n. 196, dopo il comma 8 sono inseriti i seguenti:</w:t>
      </w: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br/>
      </w:r>
      <w:r w:rsidRPr="00D66FA9">
        <w:rPr>
          <w:rFonts w:ascii="Helvetica" w:eastAsia="Times New Roman" w:hAnsi="Helvetica" w:cs="Arial"/>
          <w:i/>
          <w:iCs/>
          <w:color w:val="777777"/>
          <w:sz w:val="24"/>
          <w:szCs w:val="24"/>
          <w:lang w:eastAsia="it-IT"/>
        </w:rPr>
        <w:t>“8-bis. Al fine di favorire il monitoraggio del ciclo completo delle entrate e delle spese, le amministrazioni pubbliche ordinano gli incassi e i pagamenti al proprio tesoriere o cassiere esclusivamente attraverso ordinativi informatici emessi secondo lo standard Ordinativo Informatico emanato dall’Agenzia per l’Italia Digitale (</w:t>
      </w:r>
      <w:proofErr w:type="spellStart"/>
      <w:r w:rsidRPr="00D66FA9">
        <w:rPr>
          <w:rFonts w:ascii="Helvetica" w:eastAsia="Times New Roman" w:hAnsi="Helvetica" w:cs="Arial"/>
          <w:i/>
          <w:iCs/>
          <w:color w:val="777777"/>
          <w:sz w:val="24"/>
          <w:szCs w:val="24"/>
          <w:lang w:eastAsia="it-IT"/>
        </w:rPr>
        <w:t>AgID</w:t>
      </w:r>
      <w:proofErr w:type="spellEnd"/>
      <w:r w:rsidRPr="00D66FA9">
        <w:rPr>
          <w:rFonts w:ascii="Helvetica" w:eastAsia="Times New Roman" w:hAnsi="Helvetica" w:cs="Arial"/>
          <w:i/>
          <w:iCs/>
          <w:color w:val="777777"/>
          <w:sz w:val="24"/>
          <w:szCs w:val="24"/>
          <w:lang w:eastAsia="it-IT"/>
        </w:rPr>
        <w:t>), per il tramite dell’infrastruttura della banca dati SIOPE gestita dalla Banca d’Italia nell’ambito del servizio di tesoreria statale. Le modalità con cui enti e tesorieri scambiano gli ordinativi informatici con l’infrastruttura SIOPE sono definite da apposite regole di colloquio definite congiuntamente con l’</w:t>
      </w:r>
      <w:proofErr w:type="spellStart"/>
      <w:r w:rsidRPr="00D66FA9">
        <w:rPr>
          <w:rFonts w:ascii="Helvetica" w:eastAsia="Times New Roman" w:hAnsi="Helvetica" w:cs="Arial"/>
          <w:i/>
          <w:iCs/>
          <w:color w:val="777777"/>
          <w:sz w:val="24"/>
          <w:szCs w:val="24"/>
          <w:lang w:eastAsia="it-IT"/>
        </w:rPr>
        <w:t>AgID</w:t>
      </w:r>
      <w:proofErr w:type="spellEnd"/>
      <w:r w:rsidRPr="00D66FA9">
        <w:rPr>
          <w:rFonts w:ascii="Helvetica" w:eastAsia="Times New Roman" w:hAnsi="Helvetica" w:cs="Arial"/>
          <w:i/>
          <w:iCs/>
          <w:color w:val="777777"/>
          <w:sz w:val="24"/>
          <w:szCs w:val="24"/>
          <w:lang w:eastAsia="it-IT"/>
        </w:rPr>
        <w:t xml:space="preserve"> e disponibili nelle sezioni dedicate al SIOPE del sito internet istituzionale del Ministero dell’economia e delle finanze – Dipartimento della Ragioneria generale dello Stato. I tesorieri e i cassieri non possono accettare disposizioni di pagamento con modalità differenti da quelle descritte nel periodo precedente.</w:t>
      </w:r>
      <w:r w:rsidRPr="00D66FA9">
        <w:rPr>
          <w:rFonts w:ascii="Helvetica" w:eastAsia="Times New Roman" w:hAnsi="Helvetica" w:cs="Arial"/>
          <w:color w:val="777777"/>
          <w:sz w:val="24"/>
          <w:szCs w:val="24"/>
          <w:lang w:eastAsia="it-IT"/>
        </w:rPr>
        <w:br/>
      </w:r>
      <w:r w:rsidRPr="00D66FA9">
        <w:rPr>
          <w:rFonts w:ascii="Helvetica" w:eastAsia="Times New Roman" w:hAnsi="Helvetica" w:cs="Arial"/>
          <w:i/>
          <w:iCs/>
          <w:color w:val="777777"/>
          <w:sz w:val="24"/>
          <w:szCs w:val="24"/>
          <w:lang w:eastAsia="it-IT"/>
        </w:rPr>
        <w:t>8-ter. Con decreti del Ministero dell’economia e delle finanze, sentite la Conferenza unificata e l’</w:t>
      </w:r>
      <w:proofErr w:type="spellStart"/>
      <w:r w:rsidRPr="00D66FA9">
        <w:rPr>
          <w:rFonts w:ascii="Helvetica" w:eastAsia="Times New Roman" w:hAnsi="Helvetica" w:cs="Arial"/>
          <w:i/>
          <w:iCs/>
          <w:color w:val="777777"/>
          <w:sz w:val="24"/>
          <w:szCs w:val="24"/>
          <w:lang w:eastAsia="it-IT"/>
        </w:rPr>
        <w:t>AgID</w:t>
      </w:r>
      <w:proofErr w:type="spellEnd"/>
      <w:r w:rsidRPr="00D66FA9">
        <w:rPr>
          <w:rFonts w:ascii="Helvetica" w:eastAsia="Times New Roman" w:hAnsi="Helvetica" w:cs="Arial"/>
          <w:i/>
          <w:iCs/>
          <w:color w:val="777777"/>
          <w:sz w:val="24"/>
          <w:szCs w:val="24"/>
          <w:lang w:eastAsia="it-IT"/>
        </w:rPr>
        <w:t>, sono stabiliti le modalità e i tempi per l’attuazione delle disposizioni di cui al comma 8-bis.”</w:t>
      </w:r>
    </w:p>
    <w:p w:rsidR="00D66FA9" w:rsidRPr="00D66FA9" w:rsidRDefault="00BC0916" w:rsidP="00D66FA9">
      <w:pPr>
        <w:rPr>
          <w:b/>
          <w:lang w:eastAsia="it-IT"/>
        </w:rPr>
      </w:pPr>
      <w:hyperlink r:id="rId24" w:tgtFrame="_blank" w:history="1">
        <w:r w:rsidR="00D66FA9" w:rsidRPr="00D66FA9">
          <w:rPr>
            <w:b/>
            <w:color w:val="00577C"/>
            <w:lang w:eastAsia="it-IT"/>
          </w:rPr>
          <w:t>Decreto MEF del 14 giugno 2017</w:t>
        </w:r>
      </w:hyperlink>
      <w:r w:rsidR="00D66FA9" w:rsidRPr="00D66FA9">
        <w:rPr>
          <w:b/>
          <w:lang w:eastAsia="it-IT"/>
        </w:rPr>
        <w:br/>
      </w:r>
      <w:hyperlink r:id="rId25" w:tgtFrame="_blank" w:history="1">
        <w:r w:rsidR="00D66FA9" w:rsidRPr="00D66FA9">
          <w:rPr>
            <w:b/>
            <w:color w:val="00577C"/>
            <w:lang w:eastAsia="it-IT"/>
          </w:rPr>
          <w:t>Decreto MEF del 25 settembre 2017</w:t>
        </w:r>
      </w:hyperlink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1D46"/>
    <w:multiLevelType w:val="multilevel"/>
    <w:tmpl w:val="6FCA2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D485B8F"/>
    <w:multiLevelType w:val="multilevel"/>
    <w:tmpl w:val="85E8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60800"/>
    <w:multiLevelType w:val="multilevel"/>
    <w:tmpl w:val="2EFE4D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4F368D3"/>
    <w:multiLevelType w:val="multilevel"/>
    <w:tmpl w:val="5428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6FA9"/>
    <w:rsid w:val="0028553A"/>
    <w:rsid w:val="00B2657D"/>
    <w:rsid w:val="00BC0916"/>
    <w:rsid w:val="00C70165"/>
    <w:rsid w:val="00D6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2">
    <w:name w:val="heading 2"/>
    <w:basedOn w:val="Normale"/>
    <w:link w:val="Titolo2Carattere"/>
    <w:uiPriority w:val="9"/>
    <w:qFormat/>
    <w:rsid w:val="00D66FA9"/>
    <w:pPr>
      <w:spacing w:after="225" w:line="240" w:lineRule="auto"/>
      <w:outlineLvl w:val="1"/>
    </w:pPr>
    <w:rPr>
      <w:rFonts w:ascii="Times New Roman" w:eastAsia="Times New Roman" w:hAnsi="Times New Roman" w:cs="Times New Roman"/>
      <w:b/>
      <w:bCs/>
      <w:color w:val="222222"/>
      <w:sz w:val="33"/>
      <w:szCs w:val="3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66FA9"/>
    <w:rPr>
      <w:rFonts w:ascii="Times New Roman" w:eastAsia="Times New Roman" w:hAnsi="Times New Roman" w:cs="Times New Roman"/>
      <w:b/>
      <w:bCs/>
      <w:color w:val="222222"/>
      <w:sz w:val="33"/>
      <w:szCs w:val="33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66FA9"/>
    <w:rPr>
      <w:strike w:val="0"/>
      <w:dstrike w:val="0"/>
      <w:color w:val="00577C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D66FA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66FA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loakedemail">
    <w:name w:val="cloaked_email"/>
    <w:basedOn w:val="Carpredefinitoparagrafo"/>
    <w:rsid w:val="00D66FA9"/>
  </w:style>
  <w:style w:type="character" w:styleId="Enfasicorsivo">
    <w:name w:val="Emphasis"/>
    <w:basedOn w:val="Carpredefinitoparagrafo"/>
    <w:uiPriority w:val="20"/>
    <w:qFormat/>
    <w:rsid w:val="00D66F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1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60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559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46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87800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35389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2068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7946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ifel.it/images/SiopePlus/Allegati_1_2_e_2bis_DECRETO-LEGGE_n189-2016.pdf" TargetMode="External"/><Relationship Id="rId13" Type="http://schemas.openxmlformats.org/officeDocument/2006/relationships/hyperlink" Target="http://www.fondazioneifel.it/images/SiopePlus/opi-regole_tecniche_v_1_2_3.pdf" TargetMode="External"/><Relationship Id="rId18" Type="http://schemas.openxmlformats.org/officeDocument/2006/relationships/hyperlink" Target="http://www.fondazioneifel.it/images/SiopePlus/opi-regole_tecniche_v_1_2_3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fondazioneifel.it/catalogo-formazione-ifel/index.php?option=com_matukio&amp;view=event&amp;art=0&amp;id=1564&amp;Itemid=790" TargetMode="External"/><Relationship Id="rId7" Type="http://schemas.openxmlformats.org/officeDocument/2006/relationships/hyperlink" Target="http://www.fondazioneifel.it/images/SiopePlus/Popolazione_Comuni_2016.xls" TargetMode="External"/><Relationship Id="rId12" Type="http://schemas.openxmlformats.org/officeDocument/2006/relationships/hyperlink" Target="http://www.fondazioneifel.it/images/SiopePlus/PIANO_dei_collaudi_per_il_2018.pdf" TargetMode="External"/><Relationship Id="rId17" Type="http://schemas.openxmlformats.org/officeDocument/2006/relationships/hyperlink" Target="http://www.fondazioneifel.it/images/SiopePlus/PIANO_dei_collaudi_per_il_2018.pdf" TargetMode="External"/><Relationship Id="rId25" Type="http://schemas.openxmlformats.org/officeDocument/2006/relationships/hyperlink" Target="http://www.fondazioneifel.it/images/SiopePlus/Secondo_Decreto_25_settembre_20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ndazioneifel.it/images/SiopePlus/SIOPEx_Linee_Guida_sfruttamento_API_REST_per_PA_e_BT_v01set2017.pdf" TargetMode="External"/><Relationship Id="rId20" Type="http://schemas.openxmlformats.org/officeDocument/2006/relationships/hyperlink" Target="http://www.fondazioneifel.it/images/SiopePlus/Registrazione_e_autorizzazione_credenziali_FAQ_v.sett.1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ondazioneifel.it/images/SiopePlus/Popolazione_Comuni_2016.xls" TargetMode="External"/><Relationship Id="rId11" Type="http://schemas.openxmlformats.org/officeDocument/2006/relationships/hyperlink" Target="http://www.fondazioneifel.it/images/SiopePlus/SIOPEx_Regole_di_Colloquio_v31gen2017.pdf" TargetMode="External"/><Relationship Id="rId24" Type="http://schemas.openxmlformats.org/officeDocument/2006/relationships/hyperlink" Target="http://www.fondazioneifel.it/images/SiopePlus/Decreto_MEF_del_14_giugno_2017.pdf" TargetMode="External"/><Relationship Id="rId5" Type="http://schemas.openxmlformats.org/officeDocument/2006/relationships/hyperlink" Target="http://www.fondazioneifel.it/images/SiopePlus/Popolazione_Comuni_2016.xls" TargetMode="External"/><Relationship Id="rId15" Type="http://schemas.openxmlformats.org/officeDocument/2006/relationships/hyperlink" Target="http://www.fondazioneifel.it/images/SiopePlus/GUIDA_ALLA_REGISTRAZIONE_DELLxID_A2A_v001.pdf" TargetMode="External"/><Relationship Id="rId23" Type="http://schemas.openxmlformats.org/officeDocument/2006/relationships/hyperlink" Target="mailto:siopeplus@fondazioneifel.it" TargetMode="External"/><Relationship Id="rId10" Type="http://schemas.openxmlformats.org/officeDocument/2006/relationships/hyperlink" Target="http://www.fondazioneifel.it/images/SiopePlus/OPI_SCHEMI_XSD_1_2_2a.zip" TargetMode="External"/><Relationship Id="rId19" Type="http://schemas.openxmlformats.org/officeDocument/2006/relationships/hyperlink" Target="http://www.fondazioneifel.it/images/SiopePlus/OPI_SCHEMI_XSD_1_2_2a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azioneifel.it/images/SiopePlus/opi-regole_tecniche_v_1_2_3.pdf" TargetMode="External"/><Relationship Id="rId14" Type="http://schemas.openxmlformats.org/officeDocument/2006/relationships/hyperlink" Target="http://www.fondazioneifel.it/images/SiopePlus/SIOPEx_manuale_per_la_registrazione_e_lxautenticazione_a_SIOPEx.pdf" TargetMode="External"/><Relationship Id="rId22" Type="http://schemas.openxmlformats.org/officeDocument/2006/relationships/hyperlink" Target="http://www.fondazioneifel.it/catalogo-formazione-ifel/index.php?option=com_matukio&amp;view=event&amp;art=0&amp;id=1815&amp;Itemid=79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2017-11-06T08:19:00Z</dcterms:created>
  <dcterms:modified xsi:type="dcterms:W3CDTF">2017-11-06T08:19:00Z</dcterms:modified>
</cp:coreProperties>
</file>