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FF0CDA" w14:textId="77777777" w:rsidR="00ED5551" w:rsidRPr="00ED5551" w:rsidRDefault="00ED5551" w:rsidP="00ED5551">
      <w:pPr>
        <w:jc w:val="left"/>
        <w:rPr>
          <w:rFonts w:ascii="Times New Roman" w:eastAsia="Times New Roman" w:hAnsi="Times New Roman" w:cs="Times New Roman"/>
          <w:sz w:val="24"/>
          <w:szCs w:val="24"/>
          <w:lang w:eastAsia="it-IT"/>
        </w:rPr>
      </w:pPr>
      <w:r w:rsidRPr="00ED5551">
        <w:rPr>
          <w:rFonts w:ascii="Times New Roman" w:eastAsia="Times New Roman" w:hAnsi="Times New Roman" w:cs="Times New Roman"/>
          <w:color w:val="000000"/>
          <w:sz w:val="24"/>
          <w:szCs w:val="24"/>
          <w:shd w:val="clear" w:color="auto" w:fill="FFFFFF"/>
          <w:lang w:eastAsia="it-IT"/>
        </w:rPr>
        <w:t xml:space="preserve">Pubblicato il 15/11/2019 </w:t>
      </w:r>
    </w:p>
    <w:p w14:paraId="1A9CFCFC" w14:textId="77777777" w:rsidR="00ED5551" w:rsidRPr="00ED5551" w:rsidRDefault="00ED5551" w:rsidP="00ED5551">
      <w:pPr>
        <w:spacing w:before="100" w:beforeAutospacing="1" w:after="100" w:afterAutospacing="1" w:line="0" w:lineRule="atLeast"/>
        <w:jc w:val="right"/>
        <w:rPr>
          <w:rFonts w:ascii="&amp;quot" w:eastAsia="Times New Roman" w:hAnsi="&amp;quot" w:cs="Times New Roman"/>
          <w:b/>
          <w:bCs/>
          <w:color w:val="000000"/>
          <w:sz w:val="22"/>
          <w:lang w:eastAsia="it-IT"/>
        </w:rPr>
      </w:pPr>
      <w:r w:rsidRPr="00ED5551">
        <w:rPr>
          <w:rFonts w:ascii="&amp;quot" w:eastAsia="Times New Roman" w:hAnsi="&amp;quot" w:cs="Times New Roman"/>
          <w:b/>
          <w:bCs/>
          <w:color w:val="000000"/>
          <w:sz w:val="22"/>
          <w:lang w:eastAsia="it-IT"/>
        </w:rPr>
        <w:t>N. 07845/2019REG.PROV.COLL.</w:t>
      </w:r>
    </w:p>
    <w:p w14:paraId="13A217B5" w14:textId="77777777" w:rsidR="00ED5551" w:rsidRPr="00ED5551" w:rsidRDefault="00ED5551" w:rsidP="00ED5551">
      <w:pPr>
        <w:spacing w:before="100" w:beforeAutospacing="1" w:after="100" w:afterAutospacing="1" w:line="0" w:lineRule="atLeast"/>
        <w:jc w:val="right"/>
        <w:rPr>
          <w:rFonts w:ascii="&amp;quot" w:eastAsia="Times New Roman" w:hAnsi="&amp;quot" w:cs="Times New Roman"/>
          <w:b/>
          <w:bCs/>
          <w:color w:val="000000"/>
          <w:sz w:val="22"/>
          <w:lang w:eastAsia="it-IT"/>
        </w:rPr>
      </w:pPr>
      <w:r w:rsidRPr="00ED5551">
        <w:rPr>
          <w:rFonts w:ascii="&amp;quot" w:eastAsia="Times New Roman" w:hAnsi="&amp;quot" w:cs="Times New Roman"/>
          <w:b/>
          <w:bCs/>
          <w:color w:val="000000"/>
          <w:sz w:val="22"/>
          <w:lang w:eastAsia="it-IT"/>
        </w:rPr>
        <w:t>N. 06354/2010 REG.RIC.</w:t>
      </w:r>
    </w:p>
    <w:p w14:paraId="4C742B28" w14:textId="77777777" w:rsidR="00ED5551" w:rsidRPr="00ED5551" w:rsidRDefault="00ED5551" w:rsidP="00ED5551">
      <w:pPr>
        <w:spacing w:before="100" w:beforeAutospacing="1" w:after="100" w:afterAutospacing="1"/>
        <w:jc w:val="center"/>
        <w:rPr>
          <w:rFonts w:ascii="&amp;quot" w:eastAsia="Times New Roman" w:hAnsi="&amp;quot" w:cs="Times New Roman"/>
          <w:b/>
          <w:bCs/>
          <w:color w:val="000000"/>
          <w:spacing w:val="150"/>
          <w:sz w:val="24"/>
          <w:szCs w:val="24"/>
          <w:lang w:eastAsia="it-IT"/>
        </w:rPr>
      </w:pPr>
      <w:r w:rsidRPr="00ED5551">
        <w:rPr>
          <w:rFonts w:ascii="&amp;quot" w:eastAsia="Times New Roman" w:hAnsi="&amp;quot" w:cs="Times New Roman"/>
          <w:b/>
          <w:bCs/>
          <w:noProof/>
          <w:color w:val="000000"/>
          <w:spacing w:val="150"/>
          <w:sz w:val="24"/>
          <w:szCs w:val="24"/>
          <w:lang w:eastAsia="it-IT"/>
        </w:rPr>
        <w:drawing>
          <wp:inline distT="0" distB="0" distL="0" distR="0" wp14:anchorId="30E24B3E" wp14:editId="746D654F">
            <wp:extent cx="725805" cy="82740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25805" cy="827405"/>
                    </a:xfrm>
                    <a:prstGeom prst="rect">
                      <a:avLst/>
                    </a:prstGeom>
                    <a:noFill/>
                    <a:ln>
                      <a:noFill/>
                    </a:ln>
                  </pic:spPr>
                </pic:pic>
              </a:graphicData>
            </a:graphic>
          </wp:inline>
        </w:drawing>
      </w:r>
    </w:p>
    <w:p w14:paraId="1FA88469" w14:textId="77777777" w:rsidR="00ED5551" w:rsidRPr="00ED5551" w:rsidRDefault="00ED5551" w:rsidP="00ED5551">
      <w:pPr>
        <w:spacing w:before="100" w:beforeAutospacing="1" w:after="100" w:afterAutospacing="1"/>
        <w:jc w:val="center"/>
        <w:outlineLvl w:val="1"/>
        <w:rPr>
          <w:rFonts w:ascii="&amp;quot" w:eastAsia="Times New Roman" w:hAnsi="&amp;quot" w:cs="Times New Roman"/>
          <w:b/>
          <w:bCs/>
          <w:color w:val="000000"/>
          <w:spacing w:val="150"/>
          <w:kern w:val="36"/>
          <w:sz w:val="24"/>
          <w:szCs w:val="24"/>
          <w:lang w:eastAsia="it-IT"/>
        </w:rPr>
      </w:pPr>
      <w:r w:rsidRPr="00ED5551">
        <w:rPr>
          <w:rFonts w:ascii="&amp;quot" w:eastAsia="Times New Roman" w:hAnsi="&amp;quot" w:cs="Times New Roman"/>
          <w:b/>
          <w:bCs/>
          <w:color w:val="000000"/>
          <w:spacing w:val="150"/>
          <w:kern w:val="36"/>
          <w:sz w:val="24"/>
          <w:szCs w:val="24"/>
          <w:lang w:eastAsia="it-IT"/>
        </w:rPr>
        <w:t>REPUBBLICA ITALIANA</w:t>
      </w:r>
    </w:p>
    <w:p w14:paraId="1EEC72AF" w14:textId="77777777" w:rsidR="00ED5551" w:rsidRPr="00ED5551" w:rsidRDefault="00ED5551" w:rsidP="00ED5551">
      <w:pPr>
        <w:spacing w:before="100" w:beforeAutospacing="1" w:after="100" w:afterAutospacing="1"/>
        <w:jc w:val="center"/>
        <w:rPr>
          <w:rFonts w:ascii="&amp;quot" w:eastAsia="Times New Roman" w:hAnsi="&amp;quot" w:cs="Times New Roman"/>
          <w:b/>
          <w:bCs/>
          <w:color w:val="000000"/>
          <w:sz w:val="22"/>
          <w:lang w:eastAsia="it-IT"/>
        </w:rPr>
      </w:pPr>
      <w:r w:rsidRPr="00ED5551">
        <w:rPr>
          <w:rFonts w:ascii="&amp;quot" w:eastAsia="Times New Roman" w:hAnsi="&amp;quot" w:cs="Times New Roman"/>
          <w:b/>
          <w:bCs/>
          <w:color w:val="000000"/>
          <w:sz w:val="22"/>
          <w:lang w:eastAsia="it-IT"/>
        </w:rPr>
        <w:t>IN NOME DEL POPOLO ITALIANO</w:t>
      </w:r>
    </w:p>
    <w:p w14:paraId="6FF86270" w14:textId="77777777" w:rsidR="00ED5551" w:rsidRPr="00ED5551" w:rsidRDefault="00ED5551" w:rsidP="00ED5551">
      <w:pPr>
        <w:spacing w:before="100" w:beforeAutospacing="1" w:after="100" w:afterAutospacing="1"/>
        <w:jc w:val="center"/>
        <w:rPr>
          <w:rFonts w:ascii="&amp;quot" w:eastAsia="Times New Roman" w:hAnsi="&amp;quot" w:cs="Times New Roman"/>
          <w:b/>
          <w:bCs/>
          <w:color w:val="000000"/>
          <w:sz w:val="26"/>
          <w:szCs w:val="26"/>
          <w:lang w:eastAsia="it-IT"/>
        </w:rPr>
      </w:pPr>
      <w:r w:rsidRPr="00ED5551">
        <w:rPr>
          <w:rFonts w:ascii="&amp;quot" w:eastAsia="Times New Roman" w:hAnsi="&amp;quot" w:cs="Times New Roman"/>
          <w:b/>
          <w:bCs/>
          <w:color w:val="000000"/>
          <w:sz w:val="26"/>
          <w:szCs w:val="26"/>
          <w:lang w:eastAsia="it-IT"/>
        </w:rPr>
        <w:t>Il Consiglio di Stato</w:t>
      </w:r>
    </w:p>
    <w:p w14:paraId="26E54BBD" w14:textId="77777777" w:rsidR="00ED5551" w:rsidRPr="00ED5551" w:rsidRDefault="00ED5551" w:rsidP="00ED5551">
      <w:pPr>
        <w:spacing w:before="100" w:beforeAutospacing="1" w:after="100" w:afterAutospacing="1"/>
        <w:jc w:val="center"/>
        <w:rPr>
          <w:rFonts w:ascii="&amp;quot" w:eastAsia="Times New Roman" w:hAnsi="&amp;quot" w:cs="Times New Roman"/>
          <w:b/>
          <w:bCs/>
          <w:color w:val="000000"/>
          <w:sz w:val="26"/>
          <w:szCs w:val="26"/>
          <w:lang w:eastAsia="it-IT"/>
        </w:rPr>
      </w:pPr>
      <w:r w:rsidRPr="00ED5551">
        <w:rPr>
          <w:rFonts w:ascii="&amp;quot" w:eastAsia="Times New Roman" w:hAnsi="&amp;quot" w:cs="Times New Roman"/>
          <w:b/>
          <w:bCs/>
          <w:color w:val="000000"/>
          <w:sz w:val="26"/>
          <w:szCs w:val="26"/>
          <w:lang w:eastAsia="it-IT"/>
        </w:rPr>
        <w:t>in sede giurisdizionale (Sezione Quinta)</w:t>
      </w:r>
    </w:p>
    <w:p w14:paraId="45975E9D" w14:textId="77777777" w:rsidR="00ED5551" w:rsidRPr="00ED5551" w:rsidRDefault="00ED5551" w:rsidP="00ED5551">
      <w:pPr>
        <w:spacing w:line="520" w:lineRule="atLeast"/>
        <w:ind w:firstLine="567"/>
        <w:jc w:val="left"/>
        <w:rPr>
          <w:rFonts w:ascii="&amp;quot" w:eastAsia="Times New Roman" w:hAnsi="&amp;quot" w:cs="Times New Roman"/>
          <w:color w:val="000000"/>
          <w:sz w:val="30"/>
          <w:szCs w:val="30"/>
          <w:lang w:eastAsia="it-IT"/>
        </w:rPr>
      </w:pPr>
      <w:r w:rsidRPr="00ED5551">
        <w:rPr>
          <w:rFonts w:ascii="&amp;quot" w:eastAsia="Times New Roman" w:hAnsi="&amp;quot" w:cs="Times New Roman"/>
          <w:color w:val="000000"/>
          <w:sz w:val="30"/>
          <w:szCs w:val="30"/>
          <w:lang w:eastAsia="it-IT"/>
        </w:rPr>
        <w:t>ha pronunciato la presente</w:t>
      </w:r>
    </w:p>
    <w:p w14:paraId="5B15756A" w14:textId="77777777" w:rsidR="00ED5551" w:rsidRPr="00ED5551" w:rsidRDefault="00ED5551" w:rsidP="00ED5551">
      <w:pPr>
        <w:spacing w:before="100" w:beforeAutospacing="1" w:after="100" w:afterAutospacing="1"/>
        <w:jc w:val="center"/>
        <w:rPr>
          <w:rFonts w:ascii="&amp;quot" w:eastAsia="Times New Roman" w:hAnsi="&amp;quot" w:cs="Times New Roman"/>
          <w:b/>
          <w:bCs/>
          <w:color w:val="000000"/>
          <w:sz w:val="26"/>
          <w:szCs w:val="26"/>
          <w:lang w:eastAsia="it-IT"/>
        </w:rPr>
      </w:pPr>
      <w:r w:rsidRPr="00ED5551">
        <w:rPr>
          <w:rFonts w:ascii="&amp;quot" w:eastAsia="Times New Roman" w:hAnsi="&amp;quot" w:cs="Times New Roman"/>
          <w:b/>
          <w:bCs/>
          <w:color w:val="000000"/>
          <w:sz w:val="26"/>
          <w:szCs w:val="26"/>
          <w:lang w:eastAsia="it-IT"/>
        </w:rPr>
        <w:t>SENTENZA</w:t>
      </w:r>
    </w:p>
    <w:p w14:paraId="61464F2E" w14:textId="77777777" w:rsidR="00ED5551" w:rsidRPr="00ED5551" w:rsidRDefault="00ED5551" w:rsidP="00ED5551">
      <w:pPr>
        <w:spacing w:line="520" w:lineRule="atLeast"/>
        <w:rPr>
          <w:rFonts w:ascii="&amp;quot" w:eastAsia="Times New Roman" w:hAnsi="&amp;quot" w:cs="Times New Roman"/>
          <w:color w:val="000000"/>
          <w:sz w:val="30"/>
          <w:szCs w:val="30"/>
          <w:lang w:eastAsia="it-IT"/>
        </w:rPr>
      </w:pPr>
      <w:r w:rsidRPr="00ED5551">
        <w:rPr>
          <w:rFonts w:ascii="&amp;quot" w:eastAsia="Times New Roman" w:hAnsi="&amp;quot" w:cs="Times New Roman"/>
          <w:color w:val="000000"/>
          <w:sz w:val="30"/>
          <w:szCs w:val="30"/>
          <w:lang w:eastAsia="it-IT"/>
        </w:rPr>
        <w:t xml:space="preserve">sul ricorso in appello iscritto al numero di registro generale 6354 del 2010, proposto da </w:t>
      </w:r>
      <w:r w:rsidRPr="00ED5551">
        <w:rPr>
          <w:rFonts w:ascii="&amp;quot" w:eastAsia="Times New Roman" w:hAnsi="&amp;quot" w:cs="Times New Roman"/>
          <w:color w:val="000000"/>
          <w:sz w:val="30"/>
          <w:szCs w:val="30"/>
          <w:lang w:eastAsia="it-IT"/>
        </w:rPr>
        <w:br/>
        <w:t xml:space="preserve">Roma Capitale (in precedenza Comune di Roma), in persona del Sindaco in carica, rappresentata e difesa dall'avvocato Sergio Siracusa, con domicilio eletto in Roma, via del Tempio di Giove, n. 21; </w:t>
      </w:r>
    </w:p>
    <w:p w14:paraId="61587239" w14:textId="77777777" w:rsidR="00ED5551" w:rsidRPr="00ED5551" w:rsidRDefault="00ED5551" w:rsidP="00ED5551">
      <w:pPr>
        <w:spacing w:line="520" w:lineRule="atLeast"/>
        <w:jc w:val="center"/>
        <w:rPr>
          <w:rFonts w:ascii="&amp;quot" w:eastAsia="Times New Roman" w:hAnsi="&amp;quot" w:cs="Times New Roman"/>
          <w:b/>
          <w:bCs/>
          <w:i/>
          <w:iCs/>
          <w:color w:val="000000"/>
          <w:sz w:val="30"/>
          <w:szCs w:val="30"/>
          <w:lang w:eastAsia="it-IT"/>
        </w:rPr>
      </w:pPr>
      <w:r w:rsidRPr="00ED5551">
        <w:rPr>
          <w:rFonts w:ascii="&amp;quot" w:eastAsia="Times New Roman" w:hAnsi="&amp;quot" w:cs="Times New Roman"/>
          <w:b/>
          <w:bCs/>
          <w:i/>
          <w:iCs/>
          <w:color w:val="000000"/>
          <w:sz w:val="30"/>
          <w:szCs w:val="30"/>
          <w:lang w:eastAsia="it-IT"/>
        </w:rPr>
        <w:t>contro</w:t>
      </w:r>
    </w:p>
    <w:p w14:paraId="1922DEBC" w14:textId="77777777" w:rsidR="00ED5551" w:rsidRPr="00ED5551" w:rsidRDefault="00ED5551" w:rsidP="00ED5551">
      <w:pPr>
        <w:spacing w:line="520" w:lineRule="atLeast"/>
        <w:rPr>
          <w:rFonts w:ascii="&amp;quot" w:eastAsia="Times New Roman" w:hAnsi="&amp;quot" w:cs="Times New Roman"/>
          <w:color w:val="000000"/>
          <w:sz w:val="30"/>
          <w:szCs w:val="30"/>
          <w:lang w:eastAsia="it-IT"/>
        </w:rPr>
      </w:pPr>
      <w:r w:rsidRPr="00ED5551">
        <w:rPr>
          <w:rFonts w:ascii="&amp;quot" w:eastAsia="Times New Roman" w:hAnsi="&amp;quot" w:cs="Times New Roman"/>
          <w:color w:val="000000"/>
          <w:sz w:val="30"/>
          <w:szCs w:val="30"/>
          <w:lang w:eastAsia="it-IT"/>
        </w:rPr>
        <w:t xml:space="preserve">Associazione Culturale </w:t>
      </w:r>
      <w:proofErr w:type="spellStart"/>
      <w:r w:rsidRPr="00ED5551">
        <w:rPr>
          <w:rFonts w:ascii="&amp;quot" w:eastAsia="Times New Roman" w:hAnsi="&amp;quot" w:cs="Times New Roman"/>
          <w:color w:val="000000"/>
          <w:sz w:val="30"/>
          <w:szCs w:val="30"/>
          <w:lang w:eastAsia="it-IT"/>
        </w:rPr>
        <w:t>Cineporto</w:t>
      </w:r>
      <w:proofErr w:type="spellEnd"/>
      <w:r w:rsidRPr="00ED5551">
        <w:rPr>
          <w:rFonts w:ascii="&amp;quot" w:eastAsia="Times New Roman" w:hAnsi="&amp;quot" w:cs="Times New Roman"/>
          <w:color w:val="000000"/>
          <w:sz w:val="30"/>
          <w:szCs w:val="30"/>
          <w:lang w:eastAsia="it-IT"/>
        </w:rPr>
        <w:t xml:space="preserve">, in persona del legale rappresentante, rappresentata e difesa dall'avvocato Alberto </w:t>
      </w:r>
      <w:proofErr w:type="spellStart"/>
      <w:r w:rsidRPr="00ED5551">
        <w:rPr>
          <w:rFonts w:ascii="&amp;quot" w:eastAsia="Times New Roman" w:hAnsi="&amp;quot" w:cs="Times New Roman"/>
          <w:color w:val="000000"/>
          <w:sz w:val="30"/>
          <w:szCs w:val="30"/>
          <w:lang w:eastAsia="it-IT"/>
        </w:rPr>
        <w:t>Colabianchi</w:t>
      </w:r>
      <w:proofErr w:type="spellEnd"/>
      <w:r w:rsidRPr="00ED5551">
        <w:rPr>
          <w:rFonts w:ascii="&amp;quot" w:eastAsia="Times New Roman" w:hAnsi="&amp;quot" w:cs="Times New Roman"/>
          <w:color w:val="000000"/>
          <w:sz w:val="30"/>
          <w:szCs w:val="30"/>
          <w:lang w:eastAsia="it-IT"/>
        </w:rPr>
        <w:t xml:space="preserve">, con domicilio eletto presso il suo studio in Roma, via Oslavia, n. 30; </w:t>
      </w:r>
    </w:p>
    <w:p w14:paraId="69C78698" w14:textId="77777777" w:rsidR="00ED5551" w:rsidRPr="00ED5551" w:rsidRDefault="00ED5551" w:rsidP="00ED5551">
      <w:pPr>
        <w:spacing w:line="520" w:lineRule="atLeast"/>
        <w:jc w:val="center"/>
        <w:rPr>
          <w:rFonts w:ascii="&amp;quot" w:eastAsia="Times New Roman" w:hAnsi="&amp;quot" w:cs="Times New Roman"/>
          <w:b/>
          <w:bCs/>
          <w:i/>
          <w:iCs/>
          <w:color w:val="000000"/>
          <w:sz w:val="30"/>
          <w:szCs w:val="30"/>
          <w:lang w:eastAsia="it-IT"/>
        </w:rPr>
      </w:pPr>
      <w:r w:rsidRPr="00ED5551">
        <w:rPr>
          <w:rFonts w:ascii="&amp;quot" w:eastAsia="Times New Roman" w:hAnsi="&amp;quot" w:cs="Times New Roman"/>
          <w:b/>
          <w:bCs/>
          <w:i/>
          <w:iCs/>
          <w:color w:val="000000"/>
          <w:sz w:val="30"/>
          <w:szCs w:val="30"/>
          <w:lang w:eastAsia="it-IT"/>
        </w:rPr>
        <w:t>nei confronti</w:t>
      </w:r>
    </w:p>
    <w:p w14:paraId="26836D2E" w14:textId="77777777" w:rsidR="00ED5551" w:rsidRPr="00ED5551" w:rsidRDefault="00ED5551" w:rsidP="00ED5551">
      <w:pPr>
        <w:spacing w:line="520" w:lineRule="atLeast"/>
        <w:rPr>
          <w:rFonts w:ascii="&amp;quot" w:eastAsia="Times New Roman" w:hAnsi="&amp;quot" w:cs="Times New Roman"/>
          <w:color w:val="000000"/>
          <w:sz w:val="30"/>
          <w:szCs w:val="30"/>
          <w:lang w:eastAsia="it-IT"/>
        </w:rPr>
      </w:pPr>
      <w:proofErr w:type="spellStart"/>
      <w:r w:rsidRPr="00ED5551">
        <w:rPr>
          <w:rFonts w:ascii="&amp;quot" w:eastAsia="Times New Roman" w:hAnsi="&amp;quot" w:cs="Times New Roman"/>
          <w:color w:val="000000"/>
          <w:sz w:val="30"/>
          <w:szCs w:val="30"/>
          <w:lang w:eastAsia="it-IT"/>
        </w:rPr>
        <w:t>Anec</w:t>
      </w:r>
      <w:proofErr w:type="spellEnd"/>
      <w:r w:rsidRPr="00ED5551">
        <w:rPr>
          <w:rFonts w:ascii="&amp;quot" w:eastAsia="Times New Roman" w:hAnsi="&amp;quot" w:cs="Times New Roman"/>
          <w:color w:val="000000"/>
          <w:sz w:val="30"/>
          <w:szCs w:val="30"/>
          <w:lang w:eastAsia="it-IT"/>
        </w:rPr>
        <w:t xml:space="preserve"> Lazio, Associazione Culturale Villa Celimontana, Arci Nuova Associazione, Associazione Culturale Invito alla danza, Associazione Compagnia Piera degli Esposti - Teatro 91, Associazione Culturale Castellum, Associazione Culturale Cadmo, Associazione Culturale I concerti nel parco, Associazione Culturale Roma Poesia, Associazione Arci Ragazzi Comitato di Roma, non costituiti in giudizio; </w:t>
      </w:r>
    </w:p>
    <w:p w14:paraId="1B005022" w14:textId="77777777" w:rsidR="00ED5551" w:rsidRPr="00ED5551" w:rsidRDefault="00ED5551" w:rsidP="00ED5551">
      <w:pPr>
        <w:spacing w:line="520" w:lineRule="atLeast"/>
        <w:jc w:val="center"/>
        <w:rPr>
          <w:rFonts w:ascii="&amp;quot" w:eastAsia="Times New Roman" w:hAnsi="&amp;quot" w:cs="Times New Roman"/>
          <w:b/>
          <w:bCs/>
          <w:i/>
          <w:iCs/>
          <w:color w:val="000000"/>
          <w:sz w:val="30"/>
          <w:szCs w:val="30"/>
          <w:lang w:eastAsia="it-IT"/>
        </w:rPr>
      </w:pPr>
      <w:r w:rsidRPr="00ED5551">
        <w:rPr>
          <w:rFonts w:ascii="&amp;quot" w:eastAsia="Times New Roman" w:hAnsi="&amp;quot" w:cs="Times New Roman"/>
          <w:b/>
          <w:bCs/>
          <w:i/>
          <w:iCs/>
          <w:color w:val="000000"/>
          <w:sz w:val="30"/>
          <w:szCs w:val="30"/>
          <w:lang w:eastAsia="it-IT"/>
        </w:rPr>
        <w:t>per la riforma</w:t>
      </w:r>
    </w:p>
    <w:p w14:paraId="760EFAB2" w14:textId="77777777" w:rsidR="00ED5551" w:rsidRPr="00ED5551" w:rsidRDefault="00ED5551" w:rsidP="00ED5551">
      <w:pPr>
        <w:spacing w:line="520" w:lineRule="atLeast"/>
        <w:rPr>
          <w:rFonts w:ascii="&amp;quot" w:eastAsia="Times New Roman" w:hAnsi="&amp;quot" w:cs="Times New Roman"/>
          <w:color w:val="000000"/>
          <w:sz w:val="30"/>
          <w:szCs w:val="30"/>
          <w:lang w:eastAsia="it-IT"/>
        </w:rPr>
      </w:pPr>
      <w:r w:rsidRPr="00ED5551">
        <w:rPr>
          <w:rFonts w:ascii="&amp;quot" w:eastAsia="Times New Roman" w:hAnsi="&amp;quot" w:cs="Times New Roman"/>
          <w:color w:val="000000"/>
          <w:sz w:val="30"/>
          <w:szCs w:val="30"/>
          <w:lang w:eastAsia="it-IT"/>
        </w:rPr>
        <w:t>della sentenza del Tribunale Amministrativo Regionale per il Lazio, Sezione Seconda, n. 07795/2010, resa tra le parti;</w:t>
      </w:r>
    </w:p>
    <w:p w14:paraId="37B47068" w14:textId="77777777" w:rsidR="00ED5551" w:rsidRPr="00ED5551" w:rsidRDefault="00ED5551" w:rsidP="00ED5551">
      <w:pPr>
        <w:jc w:val="left"/>
        <w:rPr>
          <w:rFonts w:ascii="Times New Roman" w:eastAsia="Times New Roman" w:hAnsi="Times New Roman" w:cs="Times New Roman"/>
          <w:sz w:val="24"/>
          <w:szCs w:val="24"/>
          <w:lang w:eastAsia="it-IT"/>
        </w:rPr>
      </w:pPr>
      <w:r w:rsidRPr="00ED5551">
        <w:rPr>
          <w:rFonts w:ascii="Times New Roman" w:eastAsia="Times New Roman" w:hAnsi="Times New Roman" w:cs="Times New Roman"/>
          <w:color w:val="000000"/>
          <w:sz w:val="24"/>
          <w:szCs w:val="24"/>
          <w:lang w:eastAsia="it-IT"/>
        </w:rPr>
        <w:br/>
      </w:r>
    </w:p>
    <w:p w14:paraId="2049156F" w14:textId="77777777" w:rsidR="00ED5551" w:rsidRPr="00ED5551" w:rsidRDefault="00ED5551" w:rsidP="00ED5551">
      <w:pPr>
        <w:spacing w:line="520" w:lineRule="atLeast"/>
        <w:rPr>
          <w:rFonts w:ascii="&amp;quot" w:eastAsia="Times New Roman" w:hAnsi="&amp;quot" w:cs="Times New Roman"/>
          <w:color w:val="000000"/>
          <w:sz w:val="30"/>
          <w:szCs w:val="30"/>
          <w:lang w:eastAsia="it-IT"/>
        </w:rPr>
      </w:pPr>
      <w:r w:rsidRPr="00ED5551">
        <w:rPr>
          <w:rFonts w:ascii="&amp;quot" w:eastAsia="Times New Roman" w:hAnsi="&amp;quot" w:cs="Times New Roman"/>
          <w:color w:val="000000"/>
          <w:sz w:val="30"/>
          <w:szCs w:val="30"/>
          <w:lang w:eastAsia="it-IT"/>
        </w:rPr>
        <w:t>Visti il ricorso in appello e i relativi allegati;</w:t>
      </w:r>
    </w:p>
    <w:p w14:paraId="2EC7FA06" w14:textId="77777777" w:rsidR="00ED5551" w:rsidRPr="00ED5551" w:rsidRDefault="00ED5551" w:rsidP="00ED5551">
      <w:pPr>
        <w:spacing w:line="520" w:lineRule="atLeast"/>
        <w:rPr>
          <w:rFonts w:ascii="&amp;quot" w:eastAsia="Times New Roman" w:hAnsi="&amp;quot" w:cs="Times New Roman"/>
          <w:color w:val="000000"/>
          <w:sz w:val="30"/>
          <w:szCs w:val="30"/>
          <w:lang w:eastAsia="it-IT"/>
        </w:rPr>
      </w:pPr>
      <w:r w:rsidRPr="00ED5551">
        <w:rPr>
          <w:rFonts w:ascii="&amp;quot" w:eastAsia="Times New Roman" w:hAnsi="&amp;quot" w:cs="Times New Roman"/>
          <w:color w:val="000000"/>
          <w:sz w:val="30"/>
          <w:szCs w:val="30"/>
          <w:lang w:eastAsia="it-IT"/>
        </w:rPr>
        <w:t xml:space="preserve">Visto l'atto di costituzione in giudizio dell’Associazione Culturale </w:t>
      </w:r>
      <w:proofErr w:type="spellStart"/>
      <w:r w:rsidRPr="00ED5551">
        <w:rPr>
          <w:rFonts w:ascii="&amp;quot" w:eastAsia="Times New Roman" w:hAnsi="&amp;quot" w:cs="Times New Roman"/>
          <w:color w:val="000000"/>
          <w:sz w:val="30"/>
          <w:szCs w:val="30"/>
          <w:lang w:eastAsia="it-IT"/>
        </w:rPr>
        <w:t>Cineporto</w:t>
      </w:r>
      <w:proofErr w:type="spellEnd"/>
      <w:r w:rsidRPr="00ED5551">
        <w:rPr>
          <w:rFonts w:ascii="&amp;quot" w:eastAsia="Times New Roman" w:hAnsi="&amp;quot" w:cs="Times New Roman"/>
          <w:color w:val="000000"/>
          <w:sz w:val="30"/>
          <w:szCs w:val="30"/>
          <w:lang w:eastAsia="it-IT"/>
        </w:rPr>
        <w:t>, che ha spiegato anche appello incidentale;</w:t>
      </w:r>
    </w:p>
    <w:p w14:paraId="48CF8295" w14:textId="77777777" w:rsidR="00ED5551" w:rsidRPr="00ED5551" w:rsidRDefault="00ED5551" w:rsidP="00ED5551">
      <w:pPr>
        <w:spacing w:line="520" w:lineRule="atLeast"/>
        <w:rPr>
          <w:rFonts w:ascii="&amp;quot" w:eastAsia="Times New Roman" w:hAnsi="&amp;quot" w:cs="Times New Roman"/>
          <w:color w:val="000000"/>
          <w:sz w:val="30"/>
          <w:szCs w:val="30"/>
          <w:lang w:eastAsia="it-IT"/>
        </w:rPr>
      </w:pPr>
      <w:r w:rsidRPr="00ED5551">
        <w:rPr>
          <w:rFonts w:ascii="&amp;quot" w:eastAsia="Times New Roman" w:hAnsi="&amp;quot" w:cs="Times New Roman"/>
          <w:color w:val="000000"/>
          <w:sz w:val="30"/>
          <w:szCs w:val="30"/>
          <w:lang w:eastAsia="it-IT"/>
        </w:rPr>
        <w:t>Visti tutti gli atti della causa;</w:t>
      </w:r>
    </w:p>
    <w:p w14:paraId="5BD17621" w14:textId="77777777" w:rsidR="00ED5551" w:rsidRPr="00ED5551" w:rsidRDefault="00ED5551" w:rsidP="00ED5551">
      <w:pPr>
        <w:spacing w:line="520" w:lineRule="atLeast"/>
        <w:rPr>
          <w:rFonts w:ascii="&amp;quot" w:eastAsia="Times New Roman" w:hAnsi="&amp;quot" w:cs="Times New Roman"/>
          <w:color w:val="000000"/>
          <w:sz w:val="30"/>
          <w:szCs w:val="30"/>
          <w:lang w:eastAsia="it-IT"/>
        </w:rPr>
      </w:pPr>
      <w:r w:rsidRPr="00ED5551">
        <w:rPr>
          <w:rFonts w:ascii="&amp;quot" w:eastAsia="Times New Roman" w:hAnsi="&amp;quot" w:cs="Times New Roman"/>
          <w:color w:val="000000"/>
          <w:sz w:val="30"/>
          <w:szCs w:val="30"/>
          <w:lang w:eastAsia="it-IT"/>
        </w:rPr>
        <w:t xml:space="preserve">Relatore nell'udienza pubblica del giorno 18 luglio 2019 il Cons. Federico Di Matteo e uditi per le parti gli avvocati </w:t>
      </w:r>
      <w:proofErr w:type="spellStart"/>
      <w:r w:rsidRPr="00ED5551">
        <w:rPr>
          <w:rFonts w:ascii="&amp;quot" w:eastAsia="Times New Roman" w:hAnsi="&amp;quot" w:cs="Times New Roman"/>
          <w:color w:val="000000"/>
          <w:sz w:val="30"/>
          <w:szCs w:val="30"/>
          <w:lang w:eastAsia="it-IT"/>
        </w:rPr>
        <w:t>Rosalda</w:t>
      </w:r>
      <w:proofErr w:type="spellEnd"/>
      <w:r w:rsidRPr="00ED5551">
        <w:rPr>
          <w:rFonts w:ascii="&amp;quot" w:eastAsia="Times New Roman" w:hAnsi="&amp;quot" w:cs="Times New Roman"/>
          <w:color w:val="000000"/>
          <w:sz w:val="30"/>
          <w:szCs w:val="30"/>
          <w:lang w:eastAsia="it-IT"/>
        </w:rPr>
        <w:t xml:space="preserve"> Rocchi in dichiarata sostituzione dell'avvocato Sergio Siracusa e Marco Antonucci, su delega dell'avvocato Alberto </w:t>
      </w:r>
      <w:proofErr w:type="spellStart"/>
      <w:r w:rsidRPr="00ED5551">
        <w:rPr>
          <w:rFonts w:ascii="&amp;quot" w:eastAsia="Times New Roman" w:hAnsi="&amp;quot" w:cs="Times New Roman"/>
          <w:color w:val="000000"/>
          <w:sz w:val="30"/>
          <w:szCs w:val="30"/>
          <w:lang w:eastAsia="it-IT"/>
        </w:rPr>
        <w:t>Colabianchi</w:t>
      </w:r>
      <w:proofErr w:type="spellEnd"/>
      <w:r w:rsidRPr="00ED5551">
        <w:rPr>
          <w:rFonts w:ascii="&amp;quot" w:eastAsia="Times New Roman" w:hAnsi="&amp;quot" w:cs="Times New Roman"/>
          <w:color w:val="000000"/>
          <w:sz w:val="30"/>
          <w:szCs w:val="30"/>
          <w:lang w:eastAsia="it-IT"/>
        </w:rPr>
        <w:t>;</w:t>
      </w:r>
    </w:p>
    <w:p w14:paraId="0DADAE54" w14:textId="77777777" w:rsidR="00ED5551" w:rsidRPr="00ED5551" w:rsidRDefault="00ED5551" w:rsidP="00ED5551">
      <w:pPr>
        <w:spacing w:line="520" w:lineRule="atLeast"/>
        <w:rPr>
          <w:rFonts w:ascii="&amp;quot" w:eastAsia="Times New Roman" w:hAnsi="&amp;quot" w:cs="Times New Roman"/>
          <w:color w:val="000000"/>
          <w:sz w:val="30"/>
          <w:szCs w:val="30"/>
          <w:lang w:eastAsia="it-IT"/>
        </w:rPr>
      </w:pPr>
      <w:r w:rsidRPr="00ED5551">
        <w:rPr>
          <w:rFonts w:ascii="&amp;quot" w:eastAsia="Times New Roman" w:hAnsi="&amp;quot" w:cs="Times New Roman"/>
          <w:color w:val="000000"/>
          <w:sz w:val="30"/>
          <w:szCs w:val="30"/>
          <w:lang w:eastAsia="it-IT"/>
        </w:rPr>
        <w:t>Ritenuto e considerato in fatto e diritto quanto segue.</w:t>
      </w:r>
    </w:p>
    <w:p w14:paraId="5B0573ED" w14:textId="77777777" w:rsidR="00ED5551" w:rsidRPr="00ED5551" w:rsidRDefault="00ED5551" w:rsidP="00ED5551">
      <w:pPr>
        <w:jc w:val="left"/>
        <w:rPr>
          <w:rFonts w:ascii="Times New Roman" w:eastAsia="Times New Roman" w:hAnsi="Times New Roman" w:cs="Times New Roman"/>
          <w:sz w:val="24"/>
          <w:szCs w:val="24"/>
          <w:lang w:eastAsia="it-IT"/>
        </w:rPr>
      </w:pPr>
      <w:r w:rsidRPr="00ED5551">
        <w:rPr>
          <w:rFonts w:ascii="Times New Roman" w:eastAsia="Times New Roman" w:hAnsi="Times New Roman" w:cs="Times New Roman"/>
          <w:color w:val="000000"/>
          <w:sz w:val="24"/>
          <w:szCs w:val="24"/>
          <w:lang w:eastAsia="it-IT"/>
        </w:rPr>
        <w:br/>
      </w:r>
    </w:p>
    <w:p w14:paraId="7B3D39C3" w14:textId="77777777" w:rsidR="00ED5551" w:rsidRPr="00ED5551" w:rsidRDefault="00ED5551" w:rsidP="00ED5551">
      <w:pPr>
        <w:spacing w:line="540" w:lineRule="atLeast"/>
        <w:jc w:val="center"/>
        <w:rPr>
          <w:rFonts w:ascii="&amp;quot" w:eastAsia="Times New Roman" w:hAnsi="&amp;quot" w:cs="Times New Roman"/>
          <w:color w:val="000000"/>
          <w:sz w:val="30"/>
          <w:szCs w:val="30"/>
          <w:lang w:eastAsia="it-IT"/>
        </w:rPr>
      </w:pPr>
      <w:r w:rsidRPr="00ED5551">
        <w:rPr>
          <w:rFonts w:ascii="&amp;quot" w:eastAsia="Times New Roman" w:hAnsi="&amp;quot" w:cs="Times New Roman"/>
          <w:color w:val="000000"/>
          <w:sz w:val="30"/>
          <w:szCs w:val="30"/>
          <w:lang w:eastAsia="it-IT"/>
        </w:rPr>
        <w:t>FATTO e DIRITTO</w:t>
      </w:r>
    </w:p>
    <w:p w14:paraId="76DDF8E7" w14:textId="77777777" w:rsidR="00ED5551" w:rsidRPr="00ED5551" w:rsidRDefault="00ED5551" w:rsidP="00ED5551">
      <w:pPr>
        <w:spacing w:line="520" w:lineRule="atLeast"/>
        <w:rPr>
          <w:rFonts w:ascii="&amp;quot" w:eastAsia="Times New Roman" w:hAnsi="&amp;quot" w:cs="Times New Roman"/>
          <w:color w:val="000000"/>
          <w:sz w:val="30"/>
          <w:szCs w:val="30"/>
          <w:lang w:eastAsia="it-IT"/>
        </w:rPr>
      </w:pPr>
      <w:r w:rsidRPr="00ED5551">
        <w:rPr>
          <w:rFonts w:ascii="&amp;quot" w:eastAsia="Times New Roman" w:hAnsi="&amp;quot" w:cs="Times New Roman"/>
          <w:color w:val="000000"/>
          <w:sz w:val="30"/>
          <w:szCs w:val="30"/>
          <w:lang w:eastAsia="it-IT"/>
        </w:rPr>
        <w:t xml:space="preserve">1. L’Associazione culturale </w:t>
      </w:r>
      <w:proofErr w:type="spellStart"/>
      <w:r w:rsidRPr="00ED5551">
        <w:rPr>
          <w:rFonts w:ascii="&amp;quot" w:eastAsia="Times New Roman" w:hAnsi="&amp;quot" w:cs="Times New Roman"/>
          <w:color w:val="000000"/>
          <w:sz w:val="30"/>
          <w:szCs w:val="30"/>
          <w:lang w:eastAsia="it-IT"/>
        </w:rPr>
        <w:t>Cineporto</w:t>
      </w:r>
      <w:proofErr w:type="spellEnd"/>
      <w:r w:rsidRPr="00ED5551">
        <w:rPr>
          <w:rFonts w:ascii="&amp;quot" w:eastAsia="Times New Roman" w:hAnsi="&amp;quot" w:cs="Times New Roman"/>
          <w:color w:val="000000"/>
          <w:sz w:val="30"/>
          <w:szCs w:val="30"/>
          <w:lang w:eastAsia="it-IT"/>
        </w:rPr>
        <w:t>, da oltre venti anni impegnata nella realizzazione di eventi nell’ambito della manifestazione denominata “</w:t>
      </w:r>
      <w:r w:rsidRPr="00ED5551">
        <w:rPr>
          <w:rFonts w:ascii="&amp;quot" w:eastAsia="Times New Roman" w:hAnsi="&amp;quot" w:cs="Times New Roman"/>
          <w:i/>
          <w:iCs/>
          <w:color w:val="000000"/>
          <w:sz w:val="30"/>
          <w:szCs w:val="30"/>
          <w:lang w:eastAsia="it-IT"/>
        </w:rPr>
        <w:t>Estate romana</w:t>
      </w:r>
      <w:r w:rsidRPr="00ED5551">
        <w:rPr>
          <w:rFonts w:ascii="&amp;quot" w:eastAsia="Times New Roman" w:hAnsi="&amp;quot" w:cs="Times New Roman"/>
          <w:color w:val="000000"/>
          <w:sz w:val="30"/>
          <w:szCs w:val="30"/>
          <w:lang w:eastAsia="it-IT"/>
        </w:rPr>
        <w:t>”, impugnava al Tribunale amministrativo regionale per il Lazio la deliberazione di Giunta del Comune di Roma 13 maggio 2009, n. 160, di approvazione del programma di manifestazioni di particolare rilievo da svolgersi nell’ambito dell’Estate romana 2009.</w:t>
      </w:r>
    </w:p>
    <w:p w14:paraId="3CA2BAEB" w14:textId="77777777" w:rsidR="00ED5551" w:rsidRPr="00ED5551" w:rsidRDefault="00ED5551" w:rsidP="00ED5551">
      <w:pPr>
        <w:spacing w:line="520" w:lineRule="atLeast"/>
        <w:rPr>
          <w:rFonts w:ascii="&amp;quot" w:eastAsia="Times New Roman" w:hAnsi="&amp;quot" w:cs="Times New Roman"/>
          <w:color w:val="000000"/>
          <w:sz w:val="30"/>
          <w:szCs w:val="30"/>
          <w:lang w:eastAsia="it-IT"/>
        </w:rPr>
      </w:pPr>
      <w:r w:rsidRPr="00ED5551">
        <w:rPr>
          <w:rFonts w:ascii="&amp;quot" w:eastAsia="Times New Roman" w:hAnsi="&amp;quot" w:cs="Times New Roman"/>
          <w:color w:val="000000"/>
          <w:sz w:val="30"/>
          <w:szCs w:val="30"/>
          <w:lang w:eastAsia="it-IT"/>
        </w:rPr>
        <w:t>1.1. Nella deliberazione impugnata, premesso l’impegno dell’amministrazione comunale in “</w:t>
      </w:r>
      <w:r w:rsidRPr="00ED5551">
        <w:rPr>
          <w:rFonts w:ascii="&amp;quot" w:eastAsia="Times New Roman" w:hAnsi="&amp;quot" w:cs="Times New Roman"/>
          <w:i/>
          <w:iCs/>
          <w:color w:val="000000"/>
          <w:sz w:val="30"/>
          <w:szCs w:val="30"/>
          <w:lang w:eastAsia="it-IT"/>
        </w:rPr>
        <w:t>una azione di diffusione culturale mediante la promozione di attività artistiche e formative che, con la collaborazione delle forze intellettuali disponibili, hanno lo scopo di stimolare e consentire la crescita della cittadinanza</w:t>
      </w:r>
      <w:r w:rsidRPr="00ED5551">
        <w:rPr>
          <w:rFonts w:ascii="&amp;quot" w:eastAsia="Times New Roman" w:hAnsi="&amp;quot" w:cs="Times New Roman"/>
          <w:color w:val="000000"/>
          <w:sz w:val="30"/>
          <w:szCs w:val="30"/>
          <w:lang w:eastAsia="it-IT"/>
        </w:rPr>
        <w:t>”, erano individuate undici manifestazioni e i relativi soggetti organizzatori (per gran parte associazioni culturali) con il riconoscimento, per ciascuna di esse, di un contributo economico, come da tabella allegata.</w:t>
      </w:r>
    </w:p>
    <w:p w14:paraId="49E98CBB" w14:textId="77777777" w:rsidR="00ED5551" w:rsidRPr="00ED5551" w:rsidRDefault="00ED5551" w:rsidP="00ED5551">
      <w:pPr>
        <w:spacing w:line="520" w:lineRule="atLeast"/>
        <w:rPr>
          <w:rFonts w:ascii="&amp;quot" w:eastAsia="Times New Roman" w:hAnsi="&amp;quot" w:cs="Times New Roman"/>
          <w:color w:val="000000"/>
          <w:sz w:val="30"/>
          <w:szCs w:val="30"/>
          <w:lang w:eastAsia="it-IT"/>
        </w:rPr>
      </w:pPr>
      <w:r w:rsidRPr="00ED5551">
        <w:rPr>
          <w:rFonts w:ascii="&amp;quot" w:eastAsia="Times New Roman" w:hAnsi="&amp;quot" w:cs="Times New Roman"/>
          <w:color w:val="000000"/>
          <w:sz w:val="30"/>
          <w:szCs w:val="30"/>
          <w:lang w:eastAsia="it-IT"/>
        </w:rPr>
        <w:t>1.2. Delle manifestazioni culturali individuate come beneficiarie del contributo economico era data la seguente descrizione: “</w:t>
      </w:r>
      <w:r w:rsidRPr="00ED5551">
        <w:rPr>
          <w:rFonts w:ascii="&amp;quot" w:eastAsia="Times New Roman" w:hAnsi="&amp;quot" w:cs="Times New Roman"/>
          <w:i/>
          <w:iCs/>
          <w:color w:val="000000"/>
          <w:sz w:val="30"/>
          <w:szCs w:val="30"/>
          <w:lang w:eastAsia="it-IT"/>
        </w:rPr>
        <w:t>Hanno caratterizzato in modo fondamentale le attività culturali della nostra città e, molte di loro, in particolare il programma dell’Estate Romana, avendo in comune le seguenti caratteristiche: - possono ormai considerarsi veri e propri appuntamenti abituali, particolarmente apprezzati dalla cittadinanza e dai turisti; - la qualità delle proposte artistiche presentate ha sempre avuto un positivo riscontro della critica nazionale e internazionale; - la programmazione proposta ha sempre rappresentato un valido strumento per lo scambio di esperienze ed idee tra le realtà culturali locali e quelle degli altri paesi; - il loro ampio periodo di svolgimento consente la formulazione di una proposta artistica ampia e variegata con notevole capacità d’innovazione</w:t>
      </w:r>
      <w:r w:rsidRPr="00ED5551">
        <w:rPr>
          <w:rFonts w:ascii="&amp;quot" w:eastAsia="Times New Roman" w:hAnsi="&amp;quot" w:cs="Times New Roman"/>
          <w:color w:val="000000"/>
          <w:sz w:val="30"/>
          <w:szCs w:val="30"/>
          <w:lang w:eastAsia="it-IT"/>
        </w:rPr>
        <w:t>”.</w:t>
      </w:r>
    </w:p>
    <w:p w14:paraId="1FC8C717" w14:textId="77777777" w:rsidR="00ED5551" w:rsidRPr="00ED5551" w:rsidRDefault="00ED5551" w:rsidP="00ED5551">
      <w:pPr>
        <w:spacing w:line="520" w:lineRule="atLeast"/>
        <w:rPr>
          <w:rFonts w:ascii="&amp;quot" w:eastAsia="Times New Roman" w:hAnsi="&amp;quot" w:cs="Times New Roman"/>
          <w:color w:val="000000"/>
          <w:sz w:val="30"/>
          <w:szCs w:val="30"/>
          <w:lang w:eastAsia="it-IT"/>
        </w:rPr>
      </w:pPr>
      <w:r w:rsidRPr="00ED5551">
        <w:rPr>
          <w:rFonts w:ascii="&amp;quot" w:eastAsia="Times New Roman" w:hAnsi="&amp;quot" w:cs="Times New Roman"/>
          <w:color w:val="000000"/>
          <w:sz w:val="30"/>
          <w:szCs w:val="30"/>
          <w:lang w:eastAsia="it-IT"/>
        </w:rPr>
        <w:t>1.3. La ricorrente lamentava che, sebbene l’individuazione degli eventi compresi nell’ambito della manifestazione denominata “</w:t>
      </w:r>
      <w:r w:rsidRPr="00ED5551">
        <w:rPr>
          <w:rFonts w:ascii="&amp;quot" w:eastAsia="Times New Roman" w:hAnsi="&amp;quot" w:cs="Times New Roman"/>
          <w:i/>
          <w:iCs/>
          <w:color w:val="000000"/>
          <w:sz w:val="30"/>
          <w:szCs w:val="30"/>
          <w:lang w:eastAsia="it-IT"/>
        </w:rPr>
        <w:t>Estate romana</w:t>
      </w:r>
      <w:r w:rsidRPr="00ED5551">
        <w:rPr>
          <w:rFonts w:ascii="&amp;quot" w:eastAsia="Times New Roman" w:hAnsi="&amp;quot" w:cs="Times New Roman"/>
          <w:color w:val="000000"/>
          <w:sz w:val="30"/>
          <w:szCs w:val="30"/>
          <w:lang w:eastAsia="it-IT"/>
        </w:rPr>
        <w:t xml:space="preserve">” prevedesse un contributo pubblico da parte dell’amministrazione comunale a favore dei soggetti organizzatori, non era mai stata indetta una procedura pubblica per raccogliere le manifestazioni di interesse di tutti gli operatori del settore culturale interessati (con previa pubblicazione di avviso), né i progetti o i </w:t>
      </w:r>
      <w:r w:rsidRPr="00ED5551">
        <w:rPr>
          <w:rFonts w:ascii="&amp;quot" w:eastAsia="Times New Roman" w:hAnsi="&amp;quot" w:cs="Times New Roman"/>
          <w:i/>
          <w:iCs/>
          <w:color w:val="000000"/>
          <w:sz w:val="30"/>
          <w:szCs w:val="30"/>
          <w:lang w:eastAsia="it-IT"/>
        </w:rPr>
        <w:t xml:space="preserve">curricula </w:t>
      </w:r>
      <w:r w:rsidRPr="00ED5551">
        <w:rPr>
          <w:rFonts w:ascii="&amp;quot" w:eastAsia="Times New Roman" w:hAnsi="&amp;quot" w:cs="Times New Roman"/>
          <w:color w:val="000000"/>
          <w:sz w:val="30"/>
          <w:szCs w:val="30"/>
          <w:lang w:eastAsia="it-IT"/>
        </w:rPr>
        <w:t xml:space="preserve">delle associazioni organizzatrici erano stati sottoposti ad una valutazione </w:t>
      </w:r>
      <w:r w:rsidRPr="00ED5551">
        <w:rPr>
          <w:rFonts w:ascii="&amp;quot" w:eastAsia="Times New Roman" w:hAnsi="&amp;quot" w:cs="Times New Roman"/>
          <w:i/>
          <w:iCs/>
          <w:color w:val="000000"/>
          <w:sz w:val="30"/>
          <w:szCs w:val="30"/>
          <w:lang w:eastAsia="it-IT"/>
        </w:rPr>
        <w:t>ex ante</w:t>
      </w:r>
      <w:r w:rsidRPr="00ED5551">
        <w:rPr>
          <w:rFonts w:ascii="&amp;quot" w:eastAsia="Times New Roman" w:hAnsi="&amp;quot" w:cs="Times New Roman"/>
          <w:color w:val="000000"/>
          <w:sz w:val="30"/>
          <w:szCs w:val="30"/>
          <w:lang w:eastAsia="it-IT"/>
        </w:rPr>
        <w:t xml:space="preserve"> di apposita commissione, composta da esperti del settore, in difetto delle regole dell’azione amministrativa e, segnatamente, di quelle che disciplinano i procedimenti per l’erogazione di risorse pubbliche a beneficio di privati. </w:t>
      </w:r>
    </w:p>
    <w:p w14:paraId="748A7912" w14:textId="77777777" w:rsidR="00ED5551" w:rsidRPr="00ED5551" w:rsidRDefault="00ED5551" w:rsidP="00ED5551">
      <w:pPr>
        <w:spacing w:line="520" w:lineRule="atLeast"/>
        <w:rPr>
          <w:rFonts w:ascii="&amp;quot" w:eastAsia="Times New Roman" w:hAnsi="&amp;quot" w:cs="Times New Roman"/>
          <w:color w:val="000000"/>
          <w:sz w:val="30"/>
          <w:szCs w:val="30"/>
          <w:lang w:eastAsia="it-IT"/>
        </w:rPr>
      </w:pPr>
      <w:r w:rsidRPr="00ED5551">
        <w:rPr>
          <w:rFonts w:ascii="&amp;quot" w:eastAsia="Times New Roman" w:hAnsi="&amp;quot" w:cs="Times New Roman"/>
          <w:color w:val="000000"/>
          <w:sz w:val="30"/>
          <w:szCs w:val="30"/>
          <w:lang w:eastAsia="it-IT"/>
        </w:rPr>
        <w:t>2. A seguito di accesso agli atti del 30 settembre 2009 la ricorrente impugnava con motivi aggiunti le direttive dell’Assessore alle politiche culturali e della comunicazione del Comune di Roma n. 63/2009 del 23 marzo 2009 e n. 91/2009 del 16 aprile 2009.</w:t>
      </w:r>
    </w:p>
    <w:p w14:paraId="7F539ED2" w14:textId="77777777" w:rsidR="00ED5551" w:rsidRPr="00ED5551" w:rsidRDefault="00ED5551" w:rsidP="00ED5551">
      <w:pPr>
        <w:spacing w:line="520" w:lineRule="atLeast"/>
        <w:rPr>
          <w:rFonts w:ascii="&amp;quot" w:eastAsia="Times New Roman" w:hAnsi="&amp;quot" w:cs="Times New Roman"/>
          <w:color w:val="000000"/>
          <w:sz w:val="30"/>
          <w:szCs w:val="30"/>
          <w:lang w:eastAsia="it-IT"/>
        </w:rPr>
      </w:pPr>
      <w:r w:rsidRPr="00ED5551">
        <w:rPr>
          <w:rFonts w:ascii="&amp;quot" w:eastAsia="Times New Roman" w:hAnsi="&amp;quot" w:cs="Times New Roman"/>
          <w:color w:val="000000"/>
          <w:sz w:val="30"/>
          <w:szCs w:val="30"/>
          <w:lang w:eastAsia="it-IT"/>
        </w:rPr>
        <w:t>Nella prima era espresso l’intendimento di identificare alcune manifestazioni culturali svoltesi a Roma (anche in periodi diversi dell’</w:t>
      </w:r>
      <w:r w:rsidRPr="00ED5551">
        <w:rPr>
          <w:rFonts w:ascii="&amp;quot" w:eastAsia="Times New Roman" w:hAnsi="&amp;quot" w:cs="Times New Roman"/>
          <w:i/>
          <w:iCs/>
          <w:color w:val="000000"/>
          <w:sz w:val="30"/>
          <w:szCs w:val="30"/>
          <w:lang w:eastAsia="it-IT"/>
        </w:rPr>
        <w:t>Estate Romana</w:t>
      </w:r>
      <w:r w:rsidRPr="00ED5551">
        <w:rPr>
          <w:rFonts w:ascii="&amp;quot" w:eastAsia="Times New Roman" w:hAnsi="&amp;quot" w:cs="Times New Roman"/>
          <w:color w:val="000000"/>
          <w:sz w:val="30"/>
          <w:szCs w:val="30"/>
          <w:lang w:eastAsia="it-IT"/>
        </w:rPr>
        <w:t>) e renderle appuntamenti fissi (“</w:t>
      </w:r>
      <w:r w:rsidRPr="00ED5551">
        <w:rPr>
          <w:rFonts w:ascii="&amp;quot" w:eastAsia="Times New Roman" w:hAnsi="&amp;quot" w:cs="Times New Roman"/>
          <w:i/>
          <w:iCs/>
          <w:color w:val="000000"/>
          <w:sz w:val="30"/>
          <w:szCs w:val="30"/>
          <w:lang w:eastAsia="it-IT"/>
        </w:rPr>
        <w:t>istituzionalizzarle</w:t>
      </w:r>
      <w:r w:rsidRPr="00ED5551">
        <w:rPr>
          <w:rFonts w:ascii="&amp;quot" w:eastAsia="Times New Roman" w:hAnsi="&amp;quot" w:cs="Times New Roman"/>
          <w:color w:val="000000"/>
          <w:sz w:val="30"/>
          <w:szCs w:val="30"/>
          <w:lang w:eastAsia="it-IT"/>
        </w:rPr>
        <w:t>”, è detto), così da riconoscere loro un finanziamento triennale svincolato dal bando relativo alle rassegne e ai festival di spettacolo dal vivo, nella seconda, preso atto della mancanza di risorse in bilancio per il triennio, si disponeva la dichiarazione di “</w:t>
      </w:r>
      <w:r w:rsidRPr="00ED5551">
        <w:rPr>
          <w:rFonts w:ascii="&amp;quot" w:eastAsia="Times New Roman" w:hAnsi="&amp;quot" w:cs="Times New Roman"/>
          <w:i/>
          <w:iCs/>
          <w:color w:val="000000"/>
          <w:sz w:val="30"/>
          <w:szCs w:val="30"/>
          <w:lang w:eastAsia="it-IT"/>
        </w:rPr>
        <w:t>eventi storici ed appuntamenti fissi</w:t>
      </w:r>
      <w:r w:rsidRPr="00ED5551">
        <w:rPr>
          <w:rFonts w:ascii="&amp;quot" w:eastAsia="Times New Roman" w:hAnsi="&amp;quot" w:cs="Times New Roman"/>
          <w:color w:val="000000"/>
          <w:sz w:val="30"/>
          <w:szCs w:val="30"/>
          <w:lang w:eastAsia="it-IT"/>
        </w:rPr>
        <w:t>” delle predette manifestazioni per il solo anno 2009. Le manifestazioni interessate dalle direttive assessoriali coincidevano con quelle poi beneficiarie del contributo pubblico con la deliberazione n. 160/2009.</w:t>
      </w:r>
    </w:p>
    <w:p w14:paraId="4600E516" w14:textId="77777777" w:rsidR="00ED5551" w:rsidRPr="00ED5551" w:rsidRDefault="00ED5551" w:rsidP="00ED5551">
      <w:pPr>
        <w:spacing w:line="520" w:lineRule="atLeast"/>
        <w:rPr>
          <w:rFonts w:ascii="&amp;quot" w:eastAsia="Times New Roman" w:hAnsi="&amp;quot" w:cs="Times New Roman"/>
          <w:color w:val="000000"/>
          <w:sz w:val="30"/>
          <w:szCs w:val="30"/>
          <w:lang w:eastAsia="it-IT"/>
        </w:rPr>
      </w:pPr>
      <w:r w:rsidRPr="00ED5551">
        <w:rPr>
          <w:rFonts w:ascii="&amp;quot" w:eastAsia="Times New Roman" w:hAnsi="&amp;quot" w:cs="Times New Roman"/>
          <w:color w:val="000000"/>
          <w:sz w:val="30"/>
          <w:szCs w:val="30"/>
          <w:lang w:eastAsia="it-IT"/>
        </w:rPr>
        <w:t xml:space="preserve">Con i medesimi motivi aggiunti erano impugnate anche le determinazioni dirigenziali del IV Dipartimento del Comune di Roma di impegno delle somme indicate nella deliberazione giuntale n. 160/2009 (impugnata con il ricorso introduttivo del giudizio) ed era reiterata la domanda di condanna del Comune al risarcimento del danno, quantificato, ex art. 345 l. 20 marzo 1865 n. 2248, </w:t>
      </w:r>
      <w:proofErr w:type="spellStart"/>
      <w:r w:rsidRPr="00ED5551">
        <w:rPr>
          <w:rFonts w:ascii="&amp;quot" w:eastAsia="Times New Roman" w:hAnsi="&amp;quot" w:cs="Times New Roman"/>
          <w:color w:val="000000"/>
          <w:sz w:val="30"/>
          <w:szCs w:val="30"/>
          <w:lang w:eastAsia="it-IT"/>
        </w:rPr>
        <w:t>all</w:t>
      </w:r>
      <w:proofErr w:type="spellEnd"/>
      <w:r w:rsidRPr="00ED5551">
        <w:rPr>
          <w:rFonts w:ascii="&amp;quot" w:eastAsia="Times New Roman" w:hAnsi="&amp;quot" w:cs="Times New Roman"/>
          <w:color w:val="000000"/>
          <w:sz w:val="30"/>
          <w:szCs w:val="30"/>
          <w:lang w:eastAsia="it-IT"/>
        </w:rPr>
        <w:t xml:space="preserve">. F, nella misura del 10% dell’importo dell’impegno di spesa contenuto nella delibera impugnata e, in subordine, a titolo di danno morale e di perdita di </w:t>
      </w:r>
      <w:r w:rsidRPr="00ED5551">
        <w:rPr>
          <w:rFonts w:ascii="&amp;quot" w:eastAsia="Times New Roman" w:hAnsi="&amp;quot" w:cs="Times New Roman"/>
          <w:i/>
          <w:iCs/>
          <w:color w:val="000000"/>
          <w:sz w:val="30"/>
          <w:szCs w:val="30"/>
          <w:lang w:eastAsia="it-IT"/>
        </w:rPr>
        <w:t>chance</w:t>
      </w:r>
      <w:r w:rsidRPr="00ED5551">
        <w:rPr>
          <w:rFonts w:ascii="&amp;quot" w:eastAsia="Times New Roman" w:hAnsi="&amp;quot" w:cs="Times New Roman"/>
          <w:color w:val="000000"/>
          <w:sz w:val="30"/>
          <w:szCs w:val="30"/>
          <w:lang w:eastAsia="it-IT"/>
        </w:rPr>
        <w:t>, pari al 3% dell’importo dell’impegno di spesa contenuto nella delibera stessa.</w:t>
      </w:r>
    </w:p>
    <w:p w14:paraId="2B614E24" w14:textId="77777777" w:rsidR="00ED5551" w:rsidRPr="00ED5551" w:rsidRDefault="00ED5551" w:rsidP="00ED5551">
      <w:pPr>
        <w:spacing w:line="520" w:lineRule="atLeast"/>
        <w:rPr>
          <w:rFonts w:ascii="&amp;quot" w:eastAsia="Times New Roman" w:hAnsi="&amp;quot" w:cs="Times New Roman"/>
          <w:color w:val="000000"/>
          <w:sz w:val="30"/>
          <w:szCs w:val="30"/>
          <w:lang w:eastAsia="it-IT"/>
        </w:rPr>
      </w:pPr>
      <w:r w:rsidRPr="00ED5551">
        <w:rPr>
          <w:rFonts w:ascii="&amp;quot" w:eastAsia="Times New Roman" w:hAnsi="&amp;quot" w:cs="Times New Roman"/>
          <w:color w:val="000000"/>
          <w:sz w:val="30"/>
          <w:szCs w:val="30"/>
          <w:lang w:eastAsia="it-IT"/>
        </w:rPr>
        <w:t>3. L’adito tribunale, nella resistenza dell’intimato Comune di Roma, con la sentenza segnata in accoglieva il ricorso ed annullava la deliberazione di Giunta comunale n. 190/2009, condannando il Comune di Roma al risarcimento del danno quantificato in € 10.000,00, oltre alle spese del giudizio.</w:t>
      </w:r>
    </w:p>
    <w:p w14:paraId="4EFF8A0D" w14:textId="77777777" w:rsidR="00ED5551" w:rsidRPr="00ED5551" w:rsidRDefault="00ED5551" w:rsidP="00ED5551">
      <w:pPr>
        <w:spacing w:line="520" w:lineRule="atLeast"/>
        <w:rPr>
          <w:rFonts w:ascii="&amp;quot" w:eastAsia="Times New Roman" w:hAnsi="&amp;quot" w:cs="Times New Roman"/>
          <w:color w:val="000000"/>
          <w:sz w:val="30"/>
          <w:szCs w:val="30"/>
          <w:lang w:eastAsia="it-IT"/>
        </w:rPr>
      </w:pPr>
      <w:r w:rsidRPr="00ED5551">
        <w:rPr>
          <w:rFonts w:ascii="&amp;quot" w:eastAsia="Times New Roman" w:hAnsi="&amp;quot" w:cs="Times New Roman"/>
          <w:color w:val="000000"/>
          <w:sz w:val="30"/>
          <w:szCs w:val="30"/>
          <w:lang w:eastAsia="it-IT"/>
        </w:rPr>
        <w:t xml:space="preserve">4. Propone appello il Comune di Roma; l’Associazione culturale </w:t>
      </w:r>
      <w:proofErr w:type="spellStart"/>
      <w:r w:rsidRPr="00ED5551">
        <w:rPr>
          <w:rFonts w:ascii="&amp;quot" w:eastAsia="Times New Roman" w:hAnsi="&amp;quot" w:cs="Times New Roman"/>
          <w:color w:val="000000"/>
          <w:sz w:val="30"/>
          <w:szCs w:val="30"/>
          <w:lang w:eastAsia="it-IT"/>
        </w:rPr>
        <w:t>Cineporto</w:t>
      </w:r>
      <w:proofErr w:type="spellEnd"/>
      <w:r w:rsidRPr="00ED5551">
        <w:rPr>
          <w:rFonts w:ascii="&amp;quot" w:eastAsia="Times New Roman" w:hAnsi="&amp;quot" w:cs="Times New Roman"/>
          <w:color w:val="000000"/>
          <w:sz w:val="30"/>
          <w:szCs w:val="30"/>
          <w:lang w:eastAsia="it-IT"/>
        </w:rPr>
        <w:t xml:space="preserve"> si è costituita in giudizio spiegando appello incidentale. Le parti hanno depositato memorie. </w:t>
      </w:r>
    </w:p>
    <w:p w14:paraId="3C5FFFCC" w14:textId="77777777" w:rsidR="00ED5551" w:rsidRPr="00ED5551" w:rsidRDefault="00ED5551" w:rsidP="00ED5551">
      <w:pPr>
        <w:spacing w:line="520" w:lineRule="atLeast"/>
        <w:rPr>
          <w:rFonts w:ascii="&amp;quot" w:eastAsia="Times New Roman" w:hAnsi="&amp;quot" w:cs="Times New Roman"/>
          <w:color w:val="000000"/>
          <w:sz w:val="30"/>
          <w:szCs w:val="30"/>
          <w:lang w:eastAsia="it-IT"/>
        </w:rPr>
      </w:pPr>
      <w:r w:rsidRPr="00ED5551">
        <w:rPr>
          <w:rFonts w:ascii="&amp;quot" w:eastAsia="Times New Roman" w:hAnsi="&amp;quot" w:cs="Times New Roman"/>
          <w:color w:val="000000"/>
          <w:sz w:val="30"/>
          <w:szCs w:val="30"/>
          <w:lang w:eastAsia="it-IT"/>
        </w:rPr>
        <w:t>All’udienza pubblica del 18 luglio 2019 la causa è stata trattenuta in decisione.</w:t>
      </w:r>
    </w:p>
    <w:p w14:paraId="49E4FE3D" w14:textId="77777777" w:rsidR="00ED5551" w:rsidRPr="00ED5551" w:rsidRDefault="00ED5551" w:rsidP="00ED5551">
      <w:pPr>
        <w:spacing w:line="520" w:lineRule="atLeast"/>
        <w:rPr>
          <w:rFonts w:ascii="&amp;quot" w:eastAsia="Times New Roman" w:hAnsi="&amp;quot" w:cs="Times New Roman"/>
          <w:color w:val="000000"/>
          <w:sz w:val="30"/>
          <w:szCs w:val="30"/>
          <w:lang w:eastAsia="it-IT"/>
        </w:rPr>
      </w:pPr>
      <w:r w:rsidRPr="00ED5551">
        <w:rPr>
          <w:rFonts w:ascii="&amp;quot" w:eastAsia="Times New Roman" w:hAnsi="&amp;quot" w:cs="Times New Roman"/>
          <w:color w:val="000000"/>
          <w:sz w:val="30"/>
          <w:szCs w:val="30"/>
          <w:lang w:eastAsia="it-IT"/>
        </w:rPr>
        <w:t>5. Con riferimento all’appello principale si osserva quanto segue.</w:t>
      </w:r>
    </w:p>
    <w:p w14:paraId="70FA4EC9" w14:textId="77777777" w:rsidR="00ED5551" w:rsidRPr="00ED5551" w:rsidRDefault="00ED5551" w:rsidP="00ED5551">
      <w:pPr>
        <w:spacing w:line="520" w:lineRule="atLeast"/>
        <w:rPr>
          <w:rFonts w:ascii="&amp;quot" w:eastAsia="Times New Roman" w:hAnsi="&amp;quot" w:cs="Times New Roman"/>
          <w:color w:val="000000"/>
          <w:sz w:val="30"/>
          <w:szCs w:val="30"/>
          <w:lang w:eastAsia="it-IT"/>
        </w:rPr>
      </w:pPr>
      <w:r w:rsidRPr="00ED5551">
        <w:rPr>
          <w:rFonts w:ascii="&amp;quot" w:eastAsia="Times New Roman" w:hAnsi="&amp;quot" w:cs="Times New Roman"/>
          <w:color w:val="000000"/>
          <w:sz w:val="30"/>
          <w:szCs w:val="30"/>
          <w:lang w:eastAsia="it-IT"/>
        </w:rPr>
        <w:t>5.1. Con il primo motivo il Comune di Roma censura la sentenza di primo grado per “</w:t>
      </w:r>
      <w:r w:rsidRPr="00ED5551">
        <w:rPr>
          <w:rFonts w:ascii="&amp;quot" w:eastAsia="Times New Roman" w:hAnsi="&amp;quot" w:cs="Times New Roman"/>
          <w:i/>
          <w:iCs/>
          <w:color w:val="000000"/>
          <w:sz w:val="30"/>
          <w:szCs w:val="30"/>
          <w:lang w:eastAsia="it-IT"/>
        </w:rPr>
        <w:t>Violazione e falsa applicazione degli artt. 12 e 13 della legge 241/90</w:t>
      </w:r>
      <w:r w:rsidRPr="00ED5551">
        <w:rPr>
          <w:rFonts w:ascii="&amp;quot" w:eastAsia="Times New Roman" w:hAnsi="&amp;quot" w:cs="Times New Roman"/>
          <w:color w:val="000000"/>
          <w:sz w:val="30"/>
          <w:szCs w:val="30"/>
          <w:lang w:eastAsia="it-IT"/>
        </w:rPr>
        <w:t>”, sostenendo che il giudice di primo grado avrebbe erroneamente imputato all’amministrazione comunale di aver individuato le undici manifestazioni in mancanza e/o in violazione di criteri prefissati, laddove invece i criteri che avevano orientato la scelta dell’amministrazione erano stati espressamente indicati dalla stessa deliberazione comunale n. 160/2009 e cioè l’essere, le manifestazioni, il frutto di una storica attività di ricerca e sperimentazione, con riconosciuta valenza nazionale ed internazionale, in grado di offrire al pubblico le più recenti ed innovative forme di espressione artistica, nonché la capacità di porre in essere una vera “</w:t>
      </w:r>
      <w:r w:rsidRPr="00ED5551">
        <w:rPr>
          <w:rFonts w:ascii="&amp;quot" w:eastAsia="Times New Roman" w:hAnsi="&amp;quot" w:cs="Times New Roman"/>
          <w:i/>
          <w:iCs/>
          <w:color w:val="000000"/>
          <w:sz w:val="30"/>
          <w:szCs w:val="30"/>
          <w:lang w:eastAsia="it-IT"/>
        </w:rPr>
        <w:t>fucina</w:t>
      </w:r>
      <w:r w:rsidRPr="00ED5551">
        <w:rPr>
          <w:rFonts w:ascii="&amp;quot" w:eastAsia="Times New Roman" w:hAnsi="&amp;quot" w:cs="Times New Roman"/>
          <w:color w:val="000000"/>
          <w:sz w:val="30"/>
          <w:szCs w:val="30"/>
          <w:lang w:eastAsia="it-IT"/>
        </w:rPr>
        <w:t>” ove si concretizza lo scambio di esperienze tra artistici di diversa formazione.</w:t>
      </w:r>
    </w:p>
    <w:p w14:paraId="4DAD730C" w14:textId="77777777" w:rsidR="00ED5551" w:rsidRPr="00ED5551" w:rsidRDefault="00ED5551" w:rsidP="00ED5551">
      <w:pPr>
        <w:spacing w:line="520" w:lineRule="atLeast"/>
        <w:rPr>
          <w:rFonts w:ascii="&amp;quot" w:eastAsia="Times New Roman" w:hAnsi="&amp;quot" w:cs="Times New Roman"/>
          <w:color w:val="000000"/>
          <w:sz w:val="30"/>
          <w:szCs w:val="30"/>
          <w:lang w:eastAsia="it-IT"/>
        </w:rPr>
      </w:pPr>
      <w:r w:rsidRPr="00ED5551">
        <w:rPr>
          <w:rFonts w:ascii="&amp;quot" w:eastAsia="Times New Roman" w:hAnsi="&amp;quot" w:cs="Times New Roman"/>
          <w:color w:val="000000"/>
          <w:sz w:val="30"/>
          <w:szCs w:val="30"/>
          <w:lang w:eastAsia="it-IT"/>
        </w:rPr>
        <w:t xml:space="preserve">La decisione di non inserire la manifestazione organizzata dall’Associazione culturale </w:t>
      </w:r>
      <w:proofErr w:type="spellStart"/>
      <w:r w:rsidRPr="00ED5551">
        <w:rPr>
          <w:rFonts w:ascii="&amp;quot" w:eastAsia="Times New Roman" w:hAnsi="&amp;quot" w:cs="Times New Roman"/>
          <w:color w:val="000000"/>
          <w:sz w:val="30"/>
          <w:szCs w:val="30"/>
          <w:lang w:eastAsia="it-IT"/>
        </w:rPr>
        <w:t>Cineporto</w:t>
      </w:r>
      <w:proofErr w:type="spellEnd"/>
      <w:r w:rsidRPr="00ED5551">
        <w:rPr>
          <w:rFonts w:ascii="&amp;quot" w:eastAsia="Times New Roman" w:hAnsi="&amp;quot" w:cs="Times New Roman"/>
          <w:color w:val="000000"/>
          <w:sz w:val="30"/>
          <w:szCs w:val="30"/>
          <w:lang w:eastAsia="it-IT"/>
        </w:rPr>
        <w:t xml:space="preserve"> era pertanto spiegabile con l’assenza delle descritte caratteristiche, essendo articolata in una serie di esibizioni perfettamente replicabili in qualsiasi altro contesto: non sussisteva pertanto, secondo l’appellante, la violazione dei principi di parità di trattamento, non discriminazione e proporzionalità per aver svolto una regolare attività istruttoria sui programmi culturali presentati dalle associazioni, che, all’esito di una valutazione di carattere discrezionale, erano state ritenute attività artistiche di alto livello formativo.</w:t>
      </w:r>
    </w:p>
    <w:p w14:paraId="12238148" w14:textId="77777777" w:rsidR="00ED5551" w:rsidRPr="00ED5551" w:rsidRDefault="00ED5551" w:rsidP="00ED5551">
      <w:pPr>
        <w:spacing w:line="520" w:lineRule="atLeast"/>
        <w:rPr>
          <w:rFonts w:ascii="&amp;quot" w:eastAsia="Times New Roman" w:hAnsi="&amp;quot" w:cs="Times New Roman"/>
          <w:color w:val="000000"/>
          <w:sz w:val="30"/>
          <w:szCs w:val="30"/>
          <w:lang w:eastAsia="it-IT"/>
        </w:rPr>
      </w:pPr>
      <w:r w:rsidRPr="00ED5551">
        <w:rPr>
          <w:rFonts w:ascii="&amp;quot" w:eastAsia="Times New Roman" w:hAnsi="&amp;quot" w:cs="Times New Roman"/>
          <w:color w:val="000000"/>
          <w:sz w:val="30"/>
          <w:szCs w:val="30"/>
          <w:lang w:eastAsia="it-IT"/>
        </w:rPr>
        <w:t>Il motivo è inammissibile, oltre che infondato.</w:t>
      </w:r>
    </w:p>
    <w:p w14:paraId="77236C89" w14:textId="77777777" w:rsidR="00ED5551" w:rsidRPr="00ED5551" w:rsidRDefault="00ED5551" w:rsidP="00ED5551">
      <w:pPr>
        <w:spacing w:line="520" w:lineRule="atLeast"/>
        <w:rPr>
          <w:rFonts w:ascii="&amp;quot" w:eastAsia="Times New Roman" w:hAnsi="&amp;quot" w:cs="Times New Roman"/>
          <w:color w:val="000000"/>
          <w:sz w:val="30"/>
          <w:szCs w:val="30"/>
          <w:lang w:eastAsia="it-IT"/>
        </w:rPr>
      </w:pPr>
      <w:r w:rsidRPr="00ED5551">
        <w:rPr>
          <w:rFonts w:ascii="&amp;quot" w:eastAsia="Times New Roman" w:hAnsi="&amp;quot" w:cs="Times New Roman"/>
          <w:color w:val="000000"/>
          <w:sz w:val="30"/>
          <w:szCs w:val="30"/>
          <w:lang w:eastAsia="it-IT"/>
        </w:rPr>
        <w:t xml:space="preserve">5.1.1. Come rilevato l’appellante contesta la sentenza di primo grado affermando che la deliberazione giuntale n. 160/2009 aveva ben indicato i criteri in base ai quali erano state individuate le undici manifestazioni da inserire nel programma </w:t>
      </w:r>
      <w:proofErr w:type="gramStart"/>
      <w:r w:rsidRPr="00ED5551">
        <w:rPr>
          <w:rFonts w:ascii="&amp;quot" w:eastAsia="Times New Roman" w:hAnsi="&amp;quot" w:cs="Times New Roman"/>
          <w:color w:val="000000"/>
          <w:sz w:val="30"/>
          <w:szCs w:val="30"/>
          <w:lang w:eastAsia="it-IT"/>
        </w:rPr>
        <w:t xml:space="preserve">dell’ </w:t>
      </w:r>
      <w:r w:rsidRPr="00ED5551">
        <w:rPr>
          <w:rFonts w:ascii="&amp;quot" w:eastAsia="Times New Roman" w:hAnsi="&amp;quot" w:cs="Times New Roman"/>
          <w:i/>
          <w:iCs/>
          <w:color w:val="000000"/>
          <w:sz w:val="30"/>
          <w:szCs w:val="30"/>
          <w:lang w:eastAsia="it-IT"/>
        </w:rPr>
        <w:t>Estate</w:t>
      </w:r>
      <w:proofErr w:type="gramEnd"/>
      <w:r w:rsidRPr="00ED5551">
        <w:rPr>
          <w:rFonts w:ascii="&amp;quot" w:eastAsia="Times New Roman" w:hAnsi="&amp;quot" w:cs="Times New Roman"/>
          <w:i/>
          <w:iCs/>
          <w:color w:val="000000"/>
          <w:sz w:val="30"/>
          <w:szCs w:val="30"/>
          <w:lang w:eastAsia="it-IT"/>
        </w:rPr>
        <w:t xml:space="preserve"> Romana 2009</w:t>
      </w:r>
      <w:r w:rsidRPr="00ED5551">
        <w:rPr>
          <w:rFonts w:ascii="&amp;quot" w:eastAsia="Times New Roman" w:hAnsi="&amp;quot" w:cs="Times New Roman"/>
          <w:color w:val="000000"/>
          <w:sz w:val="30"/>
          <w:szCs w:val="30"/>
          <w:lang w:eastAsia="it-IT"/>
        </w:rPr>
        <w:t xml:space="preserve">, ma, così argomentando, non coglie la </w:t>
      </w:r>
      <w:r w:rsidRPr="00ED5551">
        <w:rPr>
          <w:rFonts w:ascii="&amp;quot" w:eastAsia="Times New Roman" w:hAnsi="&amp;quot" w:cs="Times New Roman"/>
          <w:i/>
          <w:iCs/>
          <w:color w:val="000000"/>
          <w:sz w:val="30"/>
          <w:szCs w:val="30"/>
          <w:lang w:eastAsia="it-IT"/>
        </w:rPr>
        <w:t xml:space="preserve">ratio </w:t>
      </w:r>
      <w:proofErr w:type="spellStart"/>
      <w:r w:rsidRPr="00ED5551">
        <w:rPr>
          <w:rFonts w:ascii="&amp;quot" w:eastAsia="Times New Roman" w:hAnsi="&amp;quot" w:cs="Times New Roman"/>
          <w:i/>
          <w:iCs/>
          <w:color w:val="000000"/>
          <w:sz w:val="30"/>
          <w:szCs w:val="30"/>
          <w:lang w:eastAsia="it-IT"/>
        </w:rPr>
        <w:t>decidendi</w:t>
      </w:r>
      <w:proofErr w:type="spellEnd"/>
      <w:r w:rsidRPr="00ED5551">
        <w:rPr>
          <w:rFonts w:ascii="&amp;quot" w:eastAsia="Times New Roman" w:hAnsi="&amp;quot" w:cs="Times New Roman"/>
          <w:color w:val="000000"/>
          <w:sz w:val="30"/>
          <w:szCs w:val="30"/>
          <w:lang w:eastAsia="it-IT"/>
        </w:rPr>
        <w:t xml:space="preserve"> </w:t>
      </w:r>
      <w:proofErr w:type="spellStart"/>
      <w:r w:rsidRPr="00ED5551">
        <w:rPr>
          <w:rFonts w:ascii="&amp;quot" w:eastAsia="Times New Roman" w:hAnsi="&amp;quot" w:cs="Times New Roman"/>
          <w:color w:val="000000"/>
          <w:sz w:val="30"/>
          <w:szCs w:val="30"/>
          <w:lang w:eastAsia="it-IT"/>
        </w:rPr>
        <w:t>posta</w:t>
      </w:r>
      <w:proofErr w:type="spellEnd"/>
      <w:r w:rsidRPr="00ED5551">
        <w:rPr>
          <w:rFonts w:ascii="&amp;quot" w:eastAsia="Times New Roman" w:hAnsi="&amp;quot" w:cs="Times New Roman"/>
          <w:color w:val="000000"/>
          <w:sz w:val="30"/>
          <w:szCs w:val="30"/>
          <w:lang w:eastAsia="it-IT"/>
        </w:rPr>
        <w:t xml:space="preserve"> a fondamento della decisione di annullamento degli atti impugnati.</w:t>
      </w:r>
    </w:p>
    <w:p w14:paraId="2507CB9E" w14:textId="77777777" w:rsidR="00ED5551" w:rsidRPr="00ED5551" w:rsidRDefault="00ED5551" w:rsidP="00ED5551">
      <w:pPr>
        <w:spacing w:line="520" w:lineRule="atLeast"/>
        <w:rPr>
          <w:rFonts w:ascii="&amp;quot" w:eastAsia="Times New Roman" w:hAnsi="&amp;quot" w:cs="Times New Roman"/>
          <w:color w:val="000000"/>
          <w:sz w:val="30"/>
          <w:szCs w:val="30"/>
          <w:lang w:eastAsia="it-IT"/>
        </w:rPr>
      </w:pPr>
      <w:r w:rsidRPr="00ED5551">
        <w:rPr>
          <w:rFonts w:ascii="&amp;quot" w:eastAsia="Times New Roman" w:hAnsi="&amp;quot" w:cs="Times New Roman"/>
          <w:color w:val="000000"/>
          <w:sz w:val="30"/>
          <w:szCs w:val="30"/>
          <w:lang w:eastAsia="it-IT"/>
        </w:rPr>
        <w:t>Il giudice di primo grado, infatti, non ha annullato la deliberazione impugnata per carenza di motivazione, ma in quanto la scelta degli eventi, e delle relative associazioni organizzatrici da beneficiare con pubblico finanziamento, non era stata preceduta da una procedura aperta alla partecipazione di tutte le associazioni culturali interessate mediante la presentazione di propri progetti.</w:t>
      </w:r>
    </w:p>
    <w:p w14:paraId="371B2C03" w14:textId="77777777" w:rsidR="00ED5551" w:rsidRPr="00ED5551" w:rsidRDefault="00ED5551" w:rsidP="00ED5551">
      <w:pPr>
        <w:spacing w:line="520" w:lineRule="atLeast"/>
        <w:rPr>
          <w:rFonts w:ascii="&amp;quot" w:eastAsia="Times New Roman" w:hAnsi="&amp;quot" w:cs="Times New Roman"/>
          <w:color w:val="000000"/>
          <w:sz w:val="30"/>
          <w:szCs w:val="30"/>
          <w:lang w:eastAsia="it-IT"/>
        </w:rPr>
      </w:pPr>
      <w:r w:rsidRPr="00ED5551">
        <w:rPr>
          <w:rFonts w:ascii="&amp;quot" w:eastAsia="Times New Roman" w:hAnsi="&amp;quot" w:cs="Times New Roman"/>
          <w:color w:val="000000"/>
          <w:sz w:val="30"/>
          <w:szCs w:val="30"/>
          <w:lang w:eastAsia="it-IT"/>
        </w:rPr>
        <w:t xml:space="preserve">La sentenza impugnata ha ritenuto fondata la violazione dell’art. 12 l. 7 agosto 1990, n. 241, in quanto applicabile a qualsiasi fattispecie di attribuzione di vantaggi economici, per non aver il Comune di Roma individuato le manifestazioni (e i soggetti organizzatori) meritevoli del contributo pubblico attraverso una proceduta comparativa ispirata alla logica dell’evidenza pubblica. Ciò aveva determinato, secondo il giudice di primo grado, la violazione del principio di imparzialità, poiché non era stata garantita l’ampia partecipazione, quanto meno ad una fase di preselezione, ed era stata ristretta, senza alcuna ragione giustificazione, l’identificazione e il riconoscimento </w:t>
      </w:r>
      <w:proofErr w:type="gramStart"/>
      <w:r w:rsidRPr="00ED5551">
        <w:rPr>
          <w:rFonts w:ascii="&amp;quot" w:eastAsia="Times New Roman" w:hAnsi="&amp;quot" w:cs="Times New Roman"/>
          <w:color w:val="000000"/>
          <w:sz w:val="30"/>
          <w:szCs w:val="30"/>
          <w:lang w:eastAsia="it-IT"/>
        </w:rPr>
        <w:t>delle manifestazione</w:t>
      </w:r>
      <w:proofErr w:type="gramEnd"/>
      <w:r w:rsidRPr="00ED5551">
        <w:rPr>
          <w:rFonts w:ascii="&amp;quot" w:eastAsia="Times New Roman" w:hAnsi="&amp;quot" w:cs="Times New Roman"/>
          <w:color w:val="000000"/>
          <w:sz w:val="30"/>
          <w:szCs w:val="30"/>
          <w:lang w:eastAsia="it-IT"/>
        </w:rPr>
        <w:t xml:space="preserve"> di “</w:t>
      </w:r>
      <w:r w:rsidRPr="00ED5551">
        <w:rPr>
          <w:rFonts w:ascii="&amp;quot" w:eastAsia="Times New Roman" w:hAnsi="&amp;quot" w:cs="Times New Roman"/>
          <w:i/>
          <w:iCs/>
          <w:color w:val="000000"/>
          <w:sz w:val="30"/>
          <w:szCs w:val="30"/>
          <w:lang w:eastAsia="it-IT"/>
        </w:rPr>
        <w:t>particolare rilievo nel panorama culturale della città</w:t>
      </w:r>
      <w:r w:rsidRPr="00ED5551">
        <w:rPr>
          <w:rFonts w:ascii="&amp;quot" w:eastAsia="Times New Roman" w:hAnsi="&amp;quot" w:cs="Times New Roman"/>
          <w:color w:val="000000"/>
          <w:sz w:val="30"/>
          <w:szCs w:val="30"/>
          <w:lang w:eastAsia="it-IT"/>
        </w:rPr>
        <w:t xml:space="preserve">”, con conseguente accesso al finanziamento alle sole iniziative presentate dalle associazioni </w:t>
      </w:r>
      <w:proofErr w:type="spellStart"/>
      <w:r w:rsidRPr="00ED5551">
        <w:rPr>
          <w:rFonts w:ascii="&amp;quot" w:eastAsia="Times New Roman" w:hAnsi="&amp;quot" w:cs="Times New Roman"/>
          <w:color w:val="000000"/>
          <w:sz w:val="30"/>
          <w:szCs w:val="30"/>
          <w:lang w:eastAsia="it-IT"/>
        </w:rPr>
        <w:t>controinteressate</w:t>
      </w:r>
      <w:proofErr w:type="spellEnd"/>
      <w:r w:rsidRPr="00ED5551">
        <w:rPr>
          <w:rFonts w:ascii="&amp;quot" w:eastAsia="Times New Roman" w:hAnsi="&amp;quot" w:cs="Times New Roman"/>
          <w:color w:val="000000"/>
          <w:sz w:val="30"/>
          <w:szCs w:val="30"/>
          <w:lang w:eastAsia="it-IT"/>
        </w:rPr>
        <w:t xml:space="preserve">. </w:t>
      </w:r>
    </w:p>
    <w:p w14:paraId="28745119" w14:textId="77777777" w:rsidR="00ED5551" w:rsidRPr="00ED5551" w:rsidRDefault="00ED5551" w:rsidP="00ED5551">
      <w:pPr>
        <w:spacing w:line="520" w:lineRule="atLeast"/>
        <w:rPr>
          <w:rFonts w:ascii="&amp;quot" w:eastAsia="Times New Roman" w:hAnsi="&amp;quot" w:cs="Times New Roman"/>
          <w:color w:val="000000"/>
          <w:sz w:val="30"/>
          <w:szCs w:val="30"/>
          <w:lang w:eastAsia="it-IT"/>
        </w:rPr>
      </w:pPr>
      <w:r w:rsidRPr="00ED5551">
        <w:rPr>
          <w:rFonts w:ascii="&amp;quot" w:eastAsia="Times New Roman" w:hAnsi="&amp;quot" w:cs="Times New Roman"/>
          <w:color w:val="000000"/>
          <w:sz w:val="30"/>
          <w:szCs w:val="30"/>
          <w:lang w:eastAsia="it-IT"/>
        </w:rPr>
        <w:t xml:space="preserve">Il Comune appellante, pertanto, non poteva limitarsi a ripetere, sebbene in maniera più articolata, i criteri (o, meglio le motivazioni) della scelta degli eventi da inserire nell’Estate Romana 2009, ma avrebbe dovuto spiegare </w:t>
      </w:r>
      <w:proofErr w:type="spellStart"/>
      <w:r w:rsidRPr="00ED5551">
        <w:rPr>
          <w:rFonts w:ascii="&amp;quot" w:eastAsia="Times New Roman" w:hAnsi="&amp;quot" w:cs="Times New Roman"/>
          <w:color w:val="000000"/>
          <w:sz w:val="30"/>
          <w:szCs w:val="30"/>
          <w:lang w:eastAsia="it-IT"/>
        </w:rPr>
        <w:t>perchè</w:t>
      </w:r>
      <w:proofErr w:type="spellEnd"/>
      <w:r w:rsidRPr="00ED5551">
        <w:rPr>
          <w:rFonts w:ascii="&amp;quot" w:eastAsia="Times New Roman" w:hAnsi="&amp;quot" w:cs="Times New Roman"/>
          <w:color w:val="000000"/>
          <w:sz w:val="30"/>
          <w:szCs w:val="30"/>
          <w:lang w:eastAsia="it-IT"/>
        </w:rPr>
        <w:t>, per l’assegnazione dei finanziamenti di cui si discute, non sarebbe stato necessario espletare una procedura comparativa tra tutte le associazioni culturali interessate, che avrebbero presentato i loro progetti da sottoporre poi ad una commissione di esperti cui sarebbe spettato individuare i più apprezzabili del finanziamento pubblico. Spiegazione tanto più necessaria se è vero che, a differenza dell’Associazione appellata, nessuna delle undici Associazioni beneficiarie di finanziamento dalla deliberazione impugnata aveva partecipato (e il relativo programma/progetto valutato) alla procedura pubblica, indetta con avviso del 12 marzo 2009, diretta al reperimento di proposte ed eventi da realizzare nella città di Roma nel periodo giugno/dicembre 2009 e gennaio/dicembre 2010.</w:t>
      </w:r>
    </w:p>
    <w:p w14:paraId="1157F60A" w14:textId="77777777" w:rsidR="00ED5551" w:rsidRPr="00ED5551" w:rsidRDefault="00ED5551" w:rsidP="00ED5551">
      <w:pPr>
        <w:spacing w:line="520" w:lineRule="atLeast"/>
        <w:rPr>
          <w:rFonts w:ascii="&amp;quot" w:eastAsia="Times New Roman" w:hAnsi="&amp;quot" w:cs="Times New Roman"/>
          <w:color w:val="000000"/>
          <w:sz w:val="30"/>
          <w:szCs w:val="30"/>
          <w:lang w:eastAsia="it-IT"/>
        </w:rPr>
      </w:pPr>
      <w:r w:rsidRPr="00ED5551">
        <w:rPr>
          <w:rFonts w:ascii="&amp;quot" w:eastAsia="Times New Roman" w:hAnsi="&amp;quot" w:cs="Times New Roman"/>
          <w:color w:val="000000"/>
          <w:sz w:val="30"/>
          <w:szCs w:val="30"/>
          <w:lang w:eastAsia="it-IT"/>
        </w:rPr>
        <w:t xml:space="preserve">5.1.2. Né l’apprezzamento dell’alto valore artistico degli eventi individuati potrebbe essere, al tempo stesso, motivazione della loro scelta e giustificazione del mancato svolgimento di una procedura comparativa, come se solamente quelle manifestazioni organizzate proprio dalle associazioni culturali beneficiarie potessero, </w:t>
      </w:r>
      <w:r w:rsidRPr="00ED5551">
        <w:rPr>
          <w:rFonts w:ascii="&amp;quot" w:eastAsia="Times New Roman" w:hAnsi="&amp;quot" w:cs="Times New Roman"/>
          <w:i/>
          <w:iCs/>
          <w:color w:val="000000"/>
          <w:sz w:val="30"/>
          <w:szCs w:val="30"/>
          <w:lang w:eastAsia="it-IT"/>
        </w:rPr>
        <w:t>ab origine</w:t>
      </w:r>
      <w:r w:rsidRPr="00ED5551">
        <w:rPr>
          <w:rFonts w:ascii="&amp;quot" w:eastAsia="Times New Roman" w:hAnsi="&amp;quot" w:cs="Times New Roman"/>
          <w:color w:val="000000"/>
          <w:sz w:val="30"/>
          <w:szCs w:val="30"/>
          <w:lang w:eastAsia="it-IT"/>
        </w:rPr>
        <w:t xml:space="preserve">, e senza necessità di confronto </w:t>
      </w:r>
      <w:r w:rsidRPr="00ED5551">
        <w:rPr>
          <w:rFonts w:ascii="&amp;quot" w:eastAsia="Times New Roman" w:hAnsi="&amp;quot" w:cs="Times New Roman"/>
          <w:i/>
          <w:iCs/>
          <w:color w:val="000000"/>
          <w:sz w:val="30"/>
          <w:szCs w:val="30"/>
          <w:lang w:eastAsia="it-IT"/>
        </w:rPr>
        <w:t>inter alias</w:t>
      </w:r>
      <w:r w:rsidRPr="00ED5551">
        <w:rPr>
          <w:rFonts w:ascii="&amp;quot" w:eastAsia="Times New Roman" w:hAnsi="&amp;quot" w:cs="Times New Roman"/>
          <w:color w:val="000000"/>
          <w:sz w:val="30"/>
          <w:szCs w:val="30"/>
          <w:lang w:eastAsia="it-IT"/>
        </w:rPr>
        <w:t xml:space="preserve">, rispondere alle aspettative dell’amministrazione. </w:t>
      </w:r>
    </w:p>
    <w:p w14:paraId="76869BD2" w14:textId="77777777" w:rsidR="00ED5551" w:rsidRPr="00ED5551" w:rsidRDefault="00ED5551" w:rsidP="00ED5551">
      <w:pPr>
        <w:spacing w:line="520" w:lineRule="atLeast"/>
        <w:rPr>
          <w:rFonts w:ascii="&amp;quot" w:eastAsia="Times New Roman" w:hAnsi="&amp;quot" w:cs="Times New Roman"/>
          <w:color w:val="000000"/>
          <w:sz w:val="30"/>
          <w:szCs w:val="30"/>
          <w:lang w:eastAsia="it-IT"/>
        </w:rPr>
      </w:pPr>
      <w:r w:rsidRPr="00ED5551">
        <w:rPr>
          <w:rFonts w:ascii="&amp;quot" w:eastAsia="Times New Roman" w:hAnsi="&amp;quot" w:cs="Times New Roman"/>
          <w:color w:val="000000"/>
          <w:sz w:val="30"/>
          <w:szCs w:val="30"/>
          <w:lang w:eastAsia="it-IT"/>
        </w:rPr>
        <w:t>Osta infatti ad una simile conclusione il consolidato indirizzo giurisprudenziale secondo cui la prescrizione contenuta nell’art. 12 l. 7 agosto 1990, n. 241 – di subordinare la concessione di “</w:t>
      </w:r>
      <w:r w:rsidRPr="00ED5551">
        <w:rPr>
          <w:rFonts w:ascii="&amp;quot" w:eastAsia="Times New Roman" w:hAnsi="&amp;quot" w:cs="Times New Roman"/>
          <w:i/>
          <w:iCs/>
          <w:color w:val="000000"/>
          <w:sz w:val="30"/>
          <w:szCs w:val="30"/>
          <w:lang w:eastAsia="it-IT"/>
        </w:rPr>
        <w:t>vantaggi economici di qualunque genere a persone ed enti pubblici e privati</w:t>
      </w:r>
      <w:r w:rsidRPr="00ED5551">
        <w:rPr>
          <w:rFonts w:ascii="&amp;quot" w:eastAsia="Times New Roman" w:hAnsi="&amp;quot" w:cs="Times New Roman"/>
          <w:color w:val="000000"/>
          <w:sz w:val="30"/>
          <w:szCs w:val="30"/>
          <w:lang w:eastAsia="it-IT"/>
        </w:rPr>
        <w:t xml:space="preserve">” alla predeterminazione di criteri e modalità cui attenersi – è espressione di un principio generale per il quale l’erogazione di somme di denaro da parte dell’amministrazione pubblica, in qualsiasi forma avvenga, non può considerarsi completamente libera, essendo, invece, necessario che la discrezionalità che connota tale attività sia incanalata mediante la preventiva predisposizione di criteri e modalità di scelta del progetto o dell’attività da beneficiare (Cons. Stato. Ag. Gen., 28 settembre 1995, </w:t>
      </w:r>
      <w:proofErr w:type="gramStart"/>
      <w:r w:rsidRPr="00ED5551">
        <w:rPr>
          <w:rFonts w:ascii="&amp;quot" w:eastAsia="Times New Roman" w:hAnsi="&amp;quot" w:cs="Times New Roman"/>
          <w:color w:val="000000"/>
          <w:sz w:val="30"/>
          <w:szCs w:val="30"/>
          <w:lang w:eastAsia="it-IT"/>
        </w:rPr>
        <w:t>e</w:t>
      </w:r>
      <w:proofErr w:type="gramEnd"/>
      <w:r w:rsidRPr="00ED5551">
        <w:rPr>
          <w:rFonts w:ascii="&amp;quot" w:eastAsia="Times New Roman" w:hAnsi="&amp;quot" w:cs="Times New Roman"/>
          <w:color w:val="000000"/>
          <w:sz w:val="30"/>
          <w:szCs w:val="30"/>
          <w:lang w:eastAsia="it-IT"/>
        </w:rPr>
        <w:t xml:space="preserve"> </w:t>
      </w:r>
      <w:r w:rsidRPr="00ED5551">
        <w:rPr>
          <w:rFonts w:ascii="&amp;quot" w:eastAsia="Times New Roman" w:hAnsi="&amp;quot" w:cs="Times New Roman"/>
          <w:i/>
          <w:iCs/>
          <w:color w:val="000000"/>
          <w:sz w:val="30"/>
          <w:szCs w:val="30"/>
          <w:lang w:eastAsia="it-IT"/>
        </w:rPr>
        <w:t xml:space="preserve">ex </w:t>
      </w:r>
      <w:proofErr w:type="spellStart"/>
      <w:r w:rsidRPr="00ED5551">
        <w:rPr>
          <w:rFonts w:ascii="&amp;quot" w:eastAsia="Times New Roman" w:hAnsi="&amp;quot" w:cs="Times New Roman"/>
          <w:i/>
          <w:iCs/>
          <w:color w:val="000000"/>
          <w:sz w:val="30"/>
          <w:szCs w:val="30"/>
          <w:lang w:eastAsia="it-IT"/>
        </w:rPr>
        <w:t>multis</w:t>
      </w:r>
      <w:proofErr w:type="spellEnd"/>
      <w:r w:rsidRPr="00ED5551">
        <w:rPr>
          <w:rFonts w:ascii="&amp;quot" w:eastAsia="Times New Roman" w:hAnsi="&amp;quot" w:cs="Times New Roman"/>
          <w:i/>
          <w:iCs/>
          <w:color w:val="000000"/>
          <w:sz w:val="30"/>
          <w:szCs w:val="30"/>
          <w:lang w:eastAsia="it-IT"/>
        </w:rPr>
        <w:t xml:space="preserve"> </w:t>
      </w:r>
      <w:r w:rsidRPr="00ED5551">
        <w:rPr>
          <w:rFonts w:ascii="&amp;quot" w:eastAsia="Times New Roman" w:hAnsi="&amp;quot" w:cs="Times New Roman"/>
          <w:color w:val="000000"/>
          <w:sz w:val="30"/>
          <w:szCs w:val="30"/>
          <w:lang w:eastAsia="it-IT"/>
        </w:rPr>
        <w:t>e tra le più recenti, sez. VI, 29 luglio 2019, n. 5319; V, 8 novembre 2017, n. 5149; V, 14 giugno 2017, n. 2914; V, 23 marzo 2015, n. 1552).</w:t>
      </w:r>
    </w:p>
    <w:p w14:paraId="2514BE5A" w14:textId="77777777" w:rsidR="00ED5551" w:rsidRPr="00ED5551" w:rsidRDefault="00ED5551" w:rsidP="00ED5551">
      <w:pPr>
        <w:spacing w:line="520" w:lineRule="atLeast"/>
        <w:rPr>
          <w:rFonts w:ascii="&amp;quot" w:eastAsia="Times New Roman" w:hAnsi="&amp;quot" w:cs="Times New Roman"/>
          <w:color w:val="000000"/>
          <w:sz w:val="30"/>
          <w:szCs w:val="30"/>
          <w:lang w:eastAsia="it-IT"/>
        </w:rPr>
      </w:pPr>
      <w:r w:rsidRPr="00ED5551">
        <w:rPr>
          <w:rFonts w:ascii="&amp;quot" w:eastAsia="Times New Roman" w:hAnsi="&amp;quot" w:cs="Times New Roman"/>
          <w:color w:val="000000"/>
          <w:sz w:val="30"/>
          <w:szCs w:val="30"/>
          <w:lang w:eastAsia="it-IT"/>
        </w:rPr>
        <w:t xml:space="preserve">Qualora, come normalmente accade, lo stanziamento finanziario sia contingentato, l’individuazione dei beneficiari richiede una comparazione tra tutti gli interessati, preceduta da un avviso pubblico per raccogliere le manifestazioni di interesse, sì da valutare, anche mediante l’intervento di una commissione di esperti appositamente nominata, la maggiore rispondenza delle diverse proposte ai criteri precedentemente determinati e definire così chi sia maggiormente meritevole di ricevere il pubblico denaro. </w:t>
      </w:r>
    </w:p>
    <w:p w14:paraId="27D74E4D" w14:textId="77777777" w:rsidR="00ED5551" w:rsidRPr="00ED5551" w:rsidRDefault="00ED5551" w:rsidP="00ED5551">
      <w:pPr>
        <w:spacing w:line="520" w:lineRule="atLeast"/>
        <w:rPr>
          <w:rFonts w:ascii="&amp;quot" w:eastAsia="Times New Roman" w:hAnsi="&amp;quot" w:cs="Times New Roman"/>
          <w:color w:val="000000"/>
          <w:sz w:val="30"/>
          <w:szCs w:val="30"/>
          <w:lang w:eastAsia="it-IT"/>
        </w:rPr>
      </w:pPr>
      <w:r w:rsidRPr="00ED5551">
        <w:rPr>
          <w:rFonts w:ascii="&amp;quot" w:eastAsia="Times New Roman" w:hAnsi="&amp;quot" w:cs="Times New Roman"/>
          <w:color w:val="000000"/>
          <w:sz w:val="30"/>
          <w:szCs w:val="30"/>
          <w:lang w:eastAsia="it-IT"/>
        </w:rPr>
        <w:t>La sentenza sul punto non merita le critiche rivoltele.</w:t>
      </w:r>
    </w:p>
    <w:p w14:paraId="09E39E04" w14:textId="77777777" w:rsidR="00ED5551" w:rsidRPr="00ED5551" w:rsidRDefault="00ED5551" w:rsidP="00ED5551">
      <w:pPr>
        <w:spacing w:line="520" w:lineRule="atLeast"/>
        <w:rPr>
          <w:rFonts w:ascii="&amp;quot" w:eastAsia="Times New Roman" w:hAnsi="&amp;quot" w:cs="Times New Roman"/>
          <w:color w:val="000000"/>
          <w:sz w:val="30"/>
          <w:szCs w:val="30"/>
          <w:lang w:eastAsia="it-IT"/>
        </w:rPr>
      </w:pPr>
      <w:r w:rsidRPr="00ED5551">
        <w:rPr>
          <w:rFonts w:ascii="&amp;quot" w:eastAsia="Times New Roman" w:hAnsi="&amp;quot" w:cs="Times New Roman"/>
          <w:color w:val="000000"/>
          <w:sz w:val="30"/>
          <w:szCs w:val="30"/>
          <w:lang w:eastAsia="it-IT"/>
        </w:rPr>
        <w:t xml:space="preserve">5.2. Con il secondo motivo di gravame l’amministrazione capitolina censura la sentenza per aver riconosciuto all’associazione il risarcimento del danno, c.d. danno </w:t>
      </w:r>
      <w:proofErr w:type="spellStart"/>
      <w:r w:rsidRPr="00ED5551">
        <w:rPr>
          <w:rFonts w:ascii="&amp;quot" w:eastAsia="Times New Roman" w:hAnsi="&amp;quot" w:cs="Times New Roman"/>
          <w:color w:val="000000"/>
          <w:sz w:val="30"/>
          <w:szCs w:val="30"/>
          <w:lang w:eastAsia="it-IT"/>
        </w:rPr>
        <w:t>curricurale</w:t>
      </w:r>
      <w:proofErr w:type="spellEnd"/>
      <w:r w:rsidRPr="00ED5551">
        <w:rPr>
          <w:rFonts w:ascii="&amp;quot" w:eastAsia="Times New Roman" w:hAnsi="&amp;quot" w:cs="Times New Roman"/>
          <w:color w:val="000000"/>
          <w:sz w:val="30"/>
          <w:szCs w:val="30"/>
          <w:lang w:eastAsia="it-IT"/>
        </w:rPr>
        <w:t xml:space="preserve">, consistente nella </w:t>
      </w:r>
      <w:proofErr w:type="spellStart"/>
      <w:r w:rsidRPr="00ED5551">
        <w:rPr>
          <w:rFonts w:ascii="&amp;quot" w:eastAsia="Times New Roman" w:hAnsi="&amp;quot" w:cs="Times New Roman"/>
          <w:i/>
          <w:iCs/>
          <w:color w:val="000000"/>
          <w:sz w:val="30"/>
          <w:szCs w:val="30"/>
          <w:lang w:eastAsia="it-IT"/>
        </w:rPr>
        <w:t>deminutio</w:t>
      </w:r>
      <w:proofErr w:type="spellEnd"/>
      <w:r w:rsidRPr="00ED5551">
        <w:rPr>
          <w:rFonts w:ascii="&amp;quot" w:eastAsia="Times New Roman" w:hAnsi="&amp;quot" w:cs="Times New Roman"/>
          <w:color w:val="000000"/>
          <w:sz w:val="30"/>
          <w:szCs w:val="30"/>
          <w:lang w:eastAsia="it-IT"/>
        </w:rPr>
        <w:t xml:space="preserve"> di prestigio che avrebbe subito per l’omessa riconduzione della manifestazione dalla stessa curata tra quelle ritenute di particolare rilievo nel panorama cittadino. A tale titolo è stato riconosciuto equitativamente l’importo, fissato nella misura del 10% dell’impegno di spesa medio per ciascuna iniziativa finanziata, di €. 10.000,00.</w:t>
      </w:r>
    </w:p>
    <w:p w14:paraId="7C31C236" w14:textId="77777777" w:rsidR="00ED5551" w:rsidRPr="00ED5551" w:rsidRDefault="00ED5551" w:rsidP="00ED5551">
      <w:pPr>
        <w:spacing w:line="520" w:lineRule="atLeast"/>
        <w:rPr>
          <w:rFonts w:ascii="&amp;quot" w:eastAsia="Times New Roman" w:hAnsi="&amp;quot" w:cs="Times New Roman"/>
          <w:color w:val="000000"/>
          <w:sz w:val="30"/>
          <w:szCs w:val="30"/>
          <w:lang w:eastAsia="it-IT"/>
        </w:rPr>
      </w:pPr>
      <w:r w:rsidRPr="00ED5551">
        <w:rPr>
          <w:rFonts w:ascii="&amp;quot" w:eastAsia="Times New Roman" w:hAnsi="&amp;quot" w:cs="Times New Roman"/>
          <w:color w:val="000000"/>
          <w:sz w:val="30"/>
          <w:szCs w:val="30"/>
          <w:lang w:eastAsia="it-IT"/>
        </w:rPr>
        <w:t>Sostiene il Comune che alcunché poteva essere riconosciuto alla ricorrente a tale titolo, dal momento che, anche ad ammettere l’illegittimità dell’operato per la predetta violazione dell’art. 12 della l. n. 241/90, l’associazione ricorrente non avrebbe mai potuto conseguire alcun incremento curriculare agognato per la mancanza dei requisiti posseduti invece dalle altre manifestazioni individuate nella deliberazione annullata, non avendo fornito alcun elemento probatorio sulla circostanza che nel caso di indizione della invocata procedura pubblica si sarebbe collocata tra le associazioni vincitrici.</w:t>
      </w:r>
    </w:p>
    <w:p w14:paraId="1BF48BC1" w14:textId="77777777" w:rsidR="00ED5551" w:rsidRPr="00ED5551" w:rsidRDefault="00ED5551" w:rsidP="00ED5551">
      <w:pPr>
        <w:spacing w:line="520" w:lineRule="atLeast"/>
        <w:rPr>
          <w:rFonts w:ascii="&amp;quot" w:eastAsia="Times New Roman" w:hAnsi="&amp;quot" w:cs="Times New Roman"/>
          <w:color w:val="000000"/>
          <w:sz w:val="30"/>
          <w:szCs w:val="30"/>
          <w:lang w:eastAsia="it-IT"/>
        </w:rPr>
      </w:pPr>
      <w:r w:rsidRPr="00ED5551">
        <w:rPr>
          <w:rFonts w:ascii="&amp;quot" w:eastAsia="Times New Roman" w:hAnsi="&amp;quot" w:cs="Times New Roman"/>
          <w:color w:val="000000"/>
          <w:sz w:val="30"/>
          <w:szCs w:val="30"/>
          <w:lang w:eastAsia="it-IT"/>
        </w:rPr>
        <w:t xml:space="preserve">Inoltre, sempre secondo l’amministrazione appellante, anche la quantificazione del risarcimento del danno, ancorata all’impegno di spesa medio sostenuto per ciascuna iniziativa finanziata, era erronea e priva di fondamento, poiché non aveva considerato che le somme erano erogate alle associazioni a consuntivo, e, dunque solo all’esito della conclusione delle manifestazioni culturali e previa acquisizione della documentazione probatoria delle spese sostenute da ciascuna di esse. In tal senso non era secondaria la circostanza che le undici manifestazioni individuate avevano valenza temporalmente limitata ad un solo anno onde l’esclusione sanzionata non poteva aver prodotto alcun pregiudizio, neppure dal punto di vista curriculare, alla partecipazione a future analoghe iniziative. </w:t>
      </w:r>
    </w:p>
    <w:p w14:paraId="0FA22197" w14:textId="77777777" w:rsidR="00ED5551" w:rsidRPr="00ED5551" w:rsidRDefault="00ED5551" w:rsidP="00ED5551">
      <w:pPr>
        <w:spacing w:line="520" w:lineRule="atLeast"/>
        <w:rPr>
          <w:rFonts w:ascii="&amp;quot" w:eastAsia="Times New Roman" w:hAnsi="&amp;quot" w:cs="Times New Roman"/>
          <w:color w:val="000000"/>
          <w:sz w:val="30"/>
          <w:szCs w:val="30"/>
          <w:lang w:eastAsia="it-IT"/>
        </w:rPr>
      </w:pPr>
      <w:r w:rsidRPr="00ED5551">
        <w:rPr>
          <w:rFonts w:ascii="&amp;quot" w:eastAsia="Times New Roman" w:hAnsi="&amp;quot" w:cs="Times New Roman"/>
          <w:color w:val="000000"/>
          <w:sz w:val="30"/>
          <w:szCs w:val="30"/>
          <w:lang w:eastAsia="it-IT"/>
        </w:rPr>
        <w:t>Il motivo è fondato e va accolto.</w:t>
      </w:r>
    </w:p>
    <w:p w14:paraId="59EF535A" w14:textId="77777777" w:rsidR="00ED5551" w:rsidRPr="00ED5551" w:rsidRDefault="00ED5551" w:rsidP="00ED5551">
      <w:pPr>
        <w:spacing w:line="520" w:lineRule="atLeast"/>
        <w:rPr>
          <w:rFonts w:ascii="&amp;quot" w:eastAsia="Times New Roman" w:hAnsi="&amp;quot" w:cs="Times New Roman"/>
          <w:color w:val="000000"/>
          <w:sz w:val="30"/>
          <w:szCs w:val="30"/>
          <w:lang w:eastAsia="it-IT"/>
        </w:rPr>
      </w:pPr>
      <w:r w:rsidRPr="00ED5551">
        <w:rPr>
          <w:rFonts w:ascii="&amp;quot" w:eastAsia="Times New Roman" w:hAnsi="&amp;quot" w:cs="Times New Roman"/>
          <w:color w:val="000000"/>
          <w:sz w:val="30"/>
          <w:szCs w:val="30"/>
          <w:lang w:eastAsia="it-IT"/>
        </w:rPr>
        <w:t xml:space="preserve">5.2.1. Come in precedenza evidenziato, la sentenza impugnata ha condannato il Comune di Roma al risarcimento del c.d. danno curriculare subito dall’associazione culturale </w:t>
      </w:r>
      <w:proofErr w:type="spellStart"/>
      <w:r w:rsidRPr="00ED5551">
        <w:rPr>
          <w:rFonts w:ascii="&amp;quot" w:eastAsia="Times New Roman" w:hAnsi="&amp;quot" w:cs="Times New Roman"/>
          <w:color w:val="000000"/>
          <w:sz w:val="30"/>
          <w:szCs w:val="30"/>
          <w:lang w:eastAsia="it-IT"/>
        </w:rPr>
        <w:t>Cineporto</w:t>
      </w:r>
      <w:proofErr w:type="spellEnd"/>
      <w:r w:rsidRPr="00ED5551">
        <w:rPr>
          <w:rFonts w:ascii="&amp;quot" w:eastAsia="Times New Roman" w:hAnsi="&amp;quot" w:cs="Times New Roman"/>
          <w:color w:val="000000"/>
          <w:sz w:val="30"/>
          <w:szCs w:val="30"/>
          <w:lang w:eastAsia="it-IT"/>
        </w:rPr>
        <w:t xml:space="preserve"> (fissato in €. 10.000,00) a causa della sua esclusa dal novero delle associazioni inserite tra le organizzatrici di eventi nell’ambito dell’</w:t>
      </w:r>
      <w:r w:rsidRPr="00ED5551">
        <w:rPr>
          <w:rFonts w:ascii="&amp;quot" w:eastAsia="Times New Roman" w:hAnsi="&amp;quot" w:cs="Times New Roman"/>
          <w:i/>
          <w:iCs/>
          <w:color w:val="000000"/>
          <w:sz w:val="30"/>
          <w:szCs w:val="30"/>
          <w:lang w:eastAsia="it-IT"/>
        </w:rPr>
        <w:t xml:space="preserve">Estate Romana 2009, </w:t>
      </w:r>
      <w:r w:rsidRPr="00ED5551">
        <w:rPr>
          <w:rFonts w:ascii="&amp;quot" w:eastAsia="Times New Roman" w:hAnsi="&amp;quot" w:cs="Times New Roman"/>
          <w:color w:val="000000"/>
          <w:sz w:val="30"/>
          <w:szCs w:val="30"/>
          <w:lang w:eastAsia="it-IT"/>
        </w:rPr>
        <w:t xml:space="preserve">senza tuttavia svolgere il c.d. giudizio prognostico, da effettuare secondo il metodo controfattuale, per accertare se, qualora l’amministrazione comunale avesse indetto una procedura di selezione pubblica, così come richiesto dalle norme che disciplinano l’azione della pubblica amministrazione, la ricorrente avrebbe potuto effettivamente conseguire il bene della vita sperato, vale a dire l’inserimento tra le manifestazioni culturali meritevoli di finanziamento (Cass. civ., Sez. Unite, 22 luglio 1999, n. 500; Cons. Stato, sez. II, 20 maggio 2019, n. 3217; IV, 14 giugno 2018, n. 3657; V, 23 marzo 2018, n. 1859; VI, 10 dicembre 2015, n. 5611; III, 2 marzo 2015, n. 1029; V, 22 gennaio 2015, n. 282). </w:t>
      </w:r>
    </w:p>
    <w:p w14:paraId="4D5D980F" w14:textId="77777777" w:rsidR="00ED5551" w:rsidRPr="00ED5551" w:rsidRDefault="00ED5551" w:rsidP="00ED5551">
      <w:pPr>
        <w:spacing w:line="520" w:lineRule="atLeast"/>
        <w:rPr>
          <w:rFonts w:ascii="&amp;quot" w:eastAsia="Times New Roman" w:hAnsi="&amp;quot" w:cs="Times New Roman"/>
          <w:color w:val="000000"/>
          <w:sz w:val="30"/>
          <w:szCs w:val="30"/>
          <w:lang w:eastAsia="it-IT"/>
        </w:rPr>
      </w:pPr>
      <w:r w:rsidRPr="00ED5551">
        <w:rPr>
          <w:rFonts w:ascii="&amp;quot" w:eastAsia="Times New Roman" w:hAnsi="&amp;quot" w:cs="Times New Roman"/>
          <w:color w:val="000000"/>
          <w:sz w:val="30"/>
          <w:szCs w:val="30"/>
          <w:lang w:eastAsia="it-IT"/>
        </w:rPr>
        <w:t>Invero solo concluso in senso positivo tale giudizio, il giudice avrebbe potuto valutare le poste di danno risarcibili, ivi compreso il c.d. danno curriculare.</w:t>
      </w:r>
    </w:p>
    <w:p w14:paraId="1A9F54AA" w14:textId="77777777" w:rsidR="00ED5551" w:rsidRPr="00ED5551" w:rsidRDefault="00ED5551" w:rsidP="00ED5551">
      <w:pPr>
        <w:spacing w:line="520" w:lineRule="atLeast"/>
        <w:rPr>
          <w:rFonts w:ascii="&amp;quot" w:eastAsia="Times New Roman" w:hAnsi="&amp;quot" w:cs="Times New Roman"/>
          <w:color w:val="000000"/>
          <w:sz w:val="30"/>
          <w:szCs w:val="30"/>
          <w:lang w:eastAsia="it-IT"/>
        </w:rPr>
      </w:pPr>
      <w:r w:rsidRPr="00ED5551">
        <w:rPr>
          <w:rFonts w:ascii="&amp;quot" w:eastAsia="Times New Roman" w:hAnsi="&amp;quot" w:cs="Times New Roman"/>
          <w:color w:val="000000"/>
          <w:sz w:val="30"/>
          <w:szCs w:val="30"/>
          <w:lang w:eastAsia="it-IT"/>
        </w:rPr>
        <w:t xml:space="preserve">5.2.2. </w:t>
      </w:r>
      <w:proofErr w:type="gramStart"/>
      <w:r w:rsidRPr="00ED5551">
        <w:rPr>
          <w:rFonts w:ascii="&amp;quot" w:eastAsia="Times New Roman" w:hAnsi="&amp;quot" w:cs="Times New Roman"/>
          <w:color w:val="000000"/>
          <w:sz w:val="30"/>
          <w:szCs w:val="30"/>
          <w:lang w:eastAsia="it-IT"/>
        </w:rPr>
        <w:t>E’</w:t>
      </w:r>
      <w:proofErr w:type="gramEnd"/>
      <w:r w:rsidRPr="00ED5551">
        <w:rPr>
          <w:rFonts w:ascii="&amp;quot" w:eastAsia="Times New Roman" w:hAnsi="&amp;quot" w:cs="Times New Roman"/>
          <w:color w:val="000000"/>
          <w:sz w:val="30"/>
          <w:szCs w:val="30"/>
          <w:lang w:eastAsia="it-IT"/>
        </w:rPr>
        <w:t xml:space="preserve"> noto che nei casi di attività della pubblica amministrazione connotata da ampia discrezionalità, l’esito del giudizio prognostico risulta particolarmente incerto e che, per questo motivo, è invalsa nella giurisprudenza amministrativa l’utilizzo della tecnica risarcitoria della c.d. </w:t>
      </w:r>
      <w:r w:rsidRPr="00ED5551">
        <w:rPr>
          <w:rFonts w:ascii="&amp;quot" w:eastAsia="Times New Roman" w:hAnsi="&amp;quot" w:cs="Times New Roman"/>
          <w:i/>
          <w:iCs/>
          <w:color w:val="000000"/>
          <w:sz w:val="30"/>
          <w:szCs w:val="30"/>
          <w:lang w:eastAsia="it-IT"/>
        </w:rPr>
        <w:t>chance</w:t>
      </w:r>
      <w:r w:rsidRPr="00ED5551">
        <w:rPr>
          <w:rFonts w:ascii="&amp;quot" w:eastAsia="Times New Roman" w:hAnsi="&amp;quot" w:cs="Times New Roman"/>
          <w:color w:val="000000"/>
          <w:sz w:val="30"/>
          <w:szCs w:val="30"/>
          <w:lang w:eastAsia="it-IT"/>
        </w:rPr>
        <w:t xml:space="preserve">. </w:t>
      </w:r>
    </w:p>
    <w:p w14:paraId="6D7FAFBC" w14:textId="77777777" w:rsidR="00ED5551" w:rsidRPr="00ED5551" w:rsidRDefault="00ED5551" w:rsidP="00ED5551">
      <w:pPr>
        <w:spacing w:line="520" w:lineRule="atLeast"/>
        <w:rPr>
          <w:rFonts w:ascii="&amp;quot" w:eastAsia="Times New Roman" w:hAnsi="&amp;quot" w:cs="Times New Roman"/>
          <w:color w:val="000000"/>
          <w:sz w:val="30"/>
          <w:szCs w:val="30"/>
          <w:lang w:eastAsia="it-IT"/>
        </w:rPr>
      </w:pPr>
      <w:r w:rsidRPr="00ED5551">
        <w:rPr>
          <w:rFonts w:ascii="&amp;quot" w:eastAsia="Times New Roman" w:hAnsi="&amp;quot" w:cs="Times New Roman"/>
          <w:color w:val="000000"/>
          <w:sz w:val="30"/>
          <w:szCs w:val="30"/>
          <w:lang w:eastAsia="it-IT"/>
        </w:rPr>
        <w:t>Si è infatti affermato che: “</w:t>
      </w:r>
      <w:r w:rsidRPr="00ED5551">
        <w:rPr>
          <w:rFonts w:ascii="&amp;quot" w:eastAsia="Times New Roman" w:hAnsi="&amp;quot" w:cs="Times New Roman"/>
          <w:i/>
          <w:iCs/>
          <w:color w:val="000000"/>
          <w:sz w:val="30"/>
          <w:szCs w:val="30"/>
          <w:lang w:eastAsia="it-IT"/>
        </w:rPr>
        <w:t>Il risarcimento del danno da perdita di chance esprime uno schema di reintegrazione patrimoniale riguardo un bene della vita connesso ad una situazione soggettiva che, quando è sostitutiva di una reintegrazione in forma specifica come nei contratti pubblici, poggia sul fatto che un operatore economico che partecipa ammissibilmente a una procedura di evidenza pubblica, per ciò solo, è stimabile come portatore di un'astratta e potenziale chance di aggiudicarsi il contratto (così come chiunque, in generale, partecipi ad una procedura comparativa per la possibilità di conseguire il bene o l'utilità messi a concorso)</w:t>
      </w:r>
      <w:r w:rsidRPr="00ED5551">
        <w:rPr>
          <w:rFonts w:ascii="&amp;quot" w:eastAsia="Times New Roman" w:hAnsi="&amp;quot" w:cs="Times New Roman"/>
          <w:color w:val="000000"/>
          <w:sz w:val="30"/>
          <w:szCs w:val="30"/>
          <w:lang w:eastAsia="it-IT"/>
        </w:rPr>
        <w:t>” (Cons. Stato, sez. V, 11 luglio 2018, n. 4225; V, 26 aprile 2018, n. 2527).</w:t>
      </w:r>
    </w:p>
    <w:p w14:paraId="56859F0E" w14:textId="77777777" w:rsidR="00ED5551" w:rsidRPr="00ED5551" w:rsidRDefault="00ED5551" w:rsidP="00ED5551">
      <w:pPr>
        <w:spacing w:line="520" w:lineRule="atLeast"/>
        <w:rPr>
          <w:rFonts w:ascii="&amp;quot" w:eastAsia="Times New Roman" w:hAnsi="&amp;quot" w:cs="Times New Roman"/>
          <w:color w:val="000000"/>
          <w:sz w:val="30"/>
          <w:szCs w:val="30"/>
          <w:lang w:eastAsia="it-IT"/>
        </w:rPr>
      </w:pPr>
      <w:r w:rsidRPr="00ED5551">
        <w:rPr>
          <w:rFonts w:ascii="&amp;quot" w:eastAsia="Times New Roman" w:hAnsi="&amp;quot" w:cs="Times New Roman"/>
          <w:color w:val="000000"/>
          <w:sz w:val="30"/>
          <w:szCs w:val="30"/>
          <w:lang w:eastAsia="it-IT"/>
        </w:rPr>
        <w:t xml:space="preserve">Per dette ragioni i confini della tecnica risarcitoria della </w:t>
      </w:r>
      <w:r w:rsidRPr="00ED5551">
        <w:rPr>
          <w:rFonts w:ascii="&amp;quot" w:eastAsia="Times New Roman" w:hAnsi="&amp;quot" w:cs="Times New Roman"/>
          <w:i/>
          <w:iCs/>
          <w:color w:val="000000"/>
          <w:sz w:val="30"/>
          <w:szCs w:val="30"/>
          <w:lang w:eastAsia="it-IT"/>
        </w:rPr>
        <w:t>chance</w:t>
      </w:r>
      <w:r w:rsidRPr="00ED5551">
        <w:rPr>
          <w:rFonts w:ascii="&amp;quot" w:eastAsia="Times New Roman" w:hAnsi="&amp;quot" w:cs="Times New Roman"/>
          <w:color w:val="000000"/>
          <w:sz w:val="30"/>
          <w:szCs w:val="30"/>
          <w:lang w:eastAsia="it-IT"/>
        </w:rPr>
        <w:t xml:space="preserve"> vanno dal caso in cui una procedura competitiva sia completamente mancata (per caso di applicazione della </w:t>
      </w:r>
      <w:r w:rsidRPr="00ED5551">
        <w:rPr>
          <w:rFonts w:ascii="&amp;quot" w:eastAsia="Times New Roman" w:hAnsi="&amp;quot" w:cs="Times New Roman"/>
          <w:i/>
          <w:iCs/>
          <w:color w:val="000000"/>
          <w:sz w:val="30"/>
          <w:szCs w:val="30"/>
          <w:lang w:eastAsia="it-IT"/>
        </w:rPr>
        <w:t>chance</w:t>
      </w:r>
      <w:r w:rsidRPr="00ED5551">
        <w:rPr>
          <w:rFonts w:ascii="&amp;quot" w:eastAsia="Times New Roman" w:hAnsi="&amp;quot" w:cs="Times New Roman"/>
          <w:color w:val="000000"/>
          <w:sz w:val="30"/>
          <w:szCs w:val="30"/>
          <w:lang w:eastAsia="it-IT"/>
        </w:rPr>
        <w:t xml:space="preserve"> a seguito di accertato illegittimo affidamento diretto di un contratto d’appalto, Cons. Stato, sez. V, 11 gennaio 2018, n. 118 cui è seguita, nella stessa vicenda, V, 17 dicembre 2018, n. 7117) a quello in cui l’unico esito possibile dell’annullamento degli atti di gara è l’aggiudicazione all’operatore economico vittorioso in giudizio; situazione in cui, ove non sia praticabile il risarcimento in forma specifica, è dovuto il danno c.d. da aggiudicazione illegittima (Cons. Stato, Ad. </w:t>
      </w:r>
      <w:proofErr w:type="spellStart"/>
      <w:r w:rsidRPr="00ED5551">
        <w:rPr>
          <w:rFonts w:ascii="&amp;quot" w:eastAsia="Times New Roman" w:hAnsi="&amp;quot" w:cs="Times New Roman"/>
          <w:color w:val="000000"/>
          <w:sz w:val="30"/>
          <w:szCs w:val="30"/>
          <w:lang w:eastAsia="it-IT"/>
        </w:rPr>
        <w:t>pl</w:t>
      </w:r>
      <w:proofErr w:type="spellEnd"/>
      <w:r w:rsidRPr="00ED5551">
        <w:rPr>
          <w:rFonts w:ascii="&amp;quot" w:eastAsia="Times New Roman" w:hAnsi="&amp;quot" w:cs="Times New Roman"/>
          <w:color w:val="000000"/>
          <w:sz w:val="30"/>
          <w:szCs w:val="30"/>
          <w:lang w:eastAsia="it-IT"/>
        </w:rPr>
        <w:t>. 12 maggio 2017, n. 2).</w:t>
      </w:r>
    </w:p>
    <w:p w14:paraId="5F33BB51" w14:textId="77777777" w:rsidR="00ED5551" w:rsidRPr="00ED5551" w:rsidRDefault="00ED5551" w:rsidP="00ED5551">
      <w:pPr>
        <w:spacing w:line="520" w:lineRule="atLeast"/>
        <w:rPr>
          <w:rFonts w:ascii="&amp;quot" w:eastAsia="Times New Roman" w:hAnsi="&amp;quot" w:cs="Times New Roman"/>
          <w:color w:val="000000"/>
          <w:sz w:val="30"/>
          <w:szCs w:val="30"/>
          <w:lang w:eastAsia="it-IT"/>
        </w:rPr>
      </w:pPr>
      <w:r w:rsidRPr="00ED5551">
        <w:rPr>
          <w:rFonts w:ascii="&amp;quot" w:eastAsia="Times New Roman" w:hAnsi="&amp;quot" w:cs="Times New Roman"/>
          <w:color w:val="000000"/>
          <w:sz w:val="30"/>
          <w:szCs w:val="30"/>
          <w:lang w:eastAsia="it-IT"/>
        </w:rPr>
        <w:t xml:space="preserve">Del resto, è la stessa associazione appellata ad ammettere (a pag. 33 del controricorso) che il c.d. danno curriculare poteva esserle riconosciuto nell’ambito del risarcimento della perdita di </w:t>
      </w:r>
      <w:r w:rsidRPr="00ED5551">
        <w:rPr>
          <w:rFonts w:ascii="&amp;quot" w:eastAsia="Times New Roman" w:hAnsi="&amp;quot" w:cs="Times New Roman"/>
          <w:i/>
          <w:iCs/>
          <w:color w:val="000000"/>
          <w:sz w:val="30"/>
          <w:szCs w:val="30"/>
          <w:lang w:eastAsia="it-IT"/>
        </w:rPr>
        <w:t>chance</w:t>
      </w:r>
      <w:r w:rsidRPr="00ED5551">
        <w:rPr>
          <w:rFonts w:ascii="&amp;quot" w:eastAsia="Times New Roman" w:hAnsi="&amp;quot" w:cs="Times New Roman"/>
          <w:color w:val="000000"/>
          <w:sz w:val="30"/>
          <w:szCs w:val="30"/>
          <w:lang w:eastAsia="it-IT"/>
        </w:rPr>
        <w:t>, prodigandosi a spiegare le ragioni che avrebbero potuto condurre l’amministrazione comunale a riconoscere la valenza storico – artistica della manifestazione che intendeva svolgere.</w:t>
      </w:r>
    </w:p>
    <w:p w14:paraId="5EA60D75" w14:textId="77777777" w:rsidR="00ED5551" w:rsidRPr="00ED5551" w:rsidRDefault="00ED5551" w:rsidP="00ED5551">
      <w:pPr>
        <w:spacing w:line="520" w:lineRule="atLeast"/>
        <w:rPr>
          <w:rFonts w:ascii="&amp;quot" w:eastAsia="Times New Roman" w:hAnsi="&amp;quot" w:cs="Times New Roman"/>
          <w:color w:val="000000"/>
          <w:sz w:val="30"/>
          <w:szCs w:val="30"/>
          <w:lang w:eastAsia="it-IT"/>
        </w:rPr>
      </w:pPr>
      <w:r w:rsidRPr="00ED5551">
        <w:rPr>
          <w:rFonts w:ascii="&amp;quot" w:eastAsia="Times New Roman" w:hAnsi="&amp;quot" w:cs="Times New Roman"/>
          <w:color w:val="000000"/>
          <w:sz w:val="30"/>
          <w:szCs w:val="30"/>
          <w:lang w:eastAsia="it-IT"/>
        </w:rPr>
        <w:t xml:space="preserve">5.2.3. La tecnica risarcitoria della </w:t>
      </w:r>
      <w:r w:rsidRPr="00ED5551">
        <w:rPr>
          <w:rFonts w:ascii="&amp;quot" w:eastAsia="Times New Roman" w:hAnsi="&amp;quot" w:cs="Times New Roman"/>
          <w:i/>
          <w:iCs/>
          <w:color w:val="000000"/>
          <w:sz w:val="30"/>
          <w:szCs w:val="30"/>
          <w:lang w:eastAsia="it-IT"/>
        </w:rPr>
        <w:t>chance</w:t>
      </w:r>
      <w:r w:rsidRPr="00ED5551">
        <w:rPr>
          <w:rFonts w:ascii="&amp;quot" w:eastAsia="Times New Roman" w:hAnsi="&amp;quot" w:cs="Times New Roman"/>
          <w:color w:val="000000"/>
          <w:sz w:val="30"/>
          <w:szCs w:val="30"/>
          <w:lang w:eastAsia="it-IT"/>
        </w:rPr>
        <w:t xml:space="preserve">, tuttavia, richiede un ulteriore necessario passaggio: è possibile accedere a detto risarcimento per equivalente solo se la </w:t>
      </w:r>
      <w:r w:rsidRPr="00ED5551">
        <w:rPr>
          <w:rFonts w:ascii="&amp;quot" w:eastAsia="Times New Roman" w:hAnsi="&amp;quot" w:cs="Times New Roman"/>
          <w:i/>
          <w:iCs/>
          <w:color w:val="000000"/>
          <w:sz w:val="30"/>
          <w:szCs w:val="30"/>
          <w:lang w:eastAsia="it-IT"/>
        </w:rPr>
        <w:t>chance</w:t>
      </w:r>
      <w:r w:rsidRPr="00ED5551">
        <w:rPr>
          <w:rFonts w:ascii="&amp;quot" w:eastAsia="Times New Roman" w:hAnsi="&amp;quot" w:cs="Times New Roman"/>
          <w:color w:val="000000"/>
          <w:sz w:val="30"/>
          <w:szCs w:val="30"/>
          <w:lang w:eastAsia="it-IT"/>
        </w:rPr>
        <w:t xml:space="preserve"> ha effettivamente raggiunto un'apprezzabile consistenza, di solito indicata dalle formule "</w:t>
      </w:r>
      <w:r w:rsidRPr="00ED5551">
        <w:rPr>
          <w:rFonts w:ascii="&amp;quot" w:eastAsia="Times New Roman" w:hAnsi="&amp;quot" w:cs="Times New Roman"/>
          <w:i/>
          <w:iCs/>
          <w:color w:val="000000"/>
          <w:sz w:val="30"/>
          <w:szCs w:val="30"/>
          <w:lang w:eastAsia="it-IT"/>
        </w:rPr>
        <w:t>probabilità seria e concreta</w:t>
      </w:r>
      <w:r w:rsidRPr="00ED5551">
        <w:rPr>
          <w:rFonts w:ascii="&amp;quot" w:eastAsia="Times New Roman" w:hAnsi="&amp;quot" w:cs="Times New Roman"/>
          <w:color w:val="000000"/>
          <w:sz w:val="30"/>
          <w:szCs w:val="30"/>
          <w:lang w:eastAsia="it-IT"/>
        </w:rPr>
        <w:t>" o anche "</w:t>
      </w:r>
      <w:r w:rsidRPr="00ED5551">
        <w:rPr>
          <w:rFonts w:ascii="&amp;quot" w:eastAsia="Times New Roman" w:hAnsi="&amp;quot" w:cs="Times New Roman"/>
          <w:i/>
          <w:iCs/>
          <w:color w:val="000000"/>
          <w:sz w:val="30"/>
          <w:szCs w:val="30"/>
          <w:lang w:eastAsia="it-IT"/>
        </w:rPr>
        <w:t>elevata probabilità</w:t>
      </w:r>
      <w:r w:rsidRPr="00ED5551">
        <w:rPr>
          <w:rFonts w:ascii="&amp;quot" w:eastAsia="Times New Roman" w:hAnsi="&amp;quot" w:cs="Times New Roman"/>
          <w:color w:val="000000"/>
          <w:sz w:val="30"/>
          <w:szCs w:val="30"/>
          <w:lang w:eastAsia="it-IT"/>
        </w:rPr>
        <w:t>" di conseguire il bene della vita sperato. Al di sotto di tale livello, dove c'è la "</w:t>
      </w:r>
      <w:r w:rsidRPr="00ED5551">
        <w:rPr>
          <w:rFonts w:ascii="&amp;quot" w:eastAsia="Times New Roman" w:hAnsi="&amp;quot" w:cs="Times New Roman"/>
          <w:i/>
          <w:iCs/>
          <w:color w:val="000000"/>
          <w:sz w:val="30"/>
          <w:szCs w:val="30"/>
          <w:lang w:eastAsia="it-IT"/>
        </w:rPr>
        <w:t>mera possibilità</w:t>
      </w:r>
      <w:r w:rsidRPr="00ED5551">
        <w:rPr>
          <w:rFonts w:ascii="&amp;quot" w:eastAsia="Times New Roman" w:hAnsi="&amp;quot" w:cs="Times New Roman"/>
          <w:color w:val="000000"/>
          <w:sz w:val="30"/>
          <w:szCs w:val="30"/>
          <w:lang w:eastAsia="it-IT"/>
        </w:rPr>
        <w:t>", vi è solo un ipotetico danno non meritevole di reintegrazione poiché in pratica nemmeno distinguibile dalla lesione di una mera aspettativa di fatto (oltre alle sentenze in precedenza citate, in tema di pubblici concorsi, Cons. Stato, III, 27 novembre 2017, n. 5559, nonché Cass., lav., 25 agosto 2017, n. 20408; in tema di contratti pubblici, Cons. Stato, V, 7 giugno 2017, n. 2740; VI, 4 settembre 2015, n. 4115; 5 marzo 2015, n. 1099; VI, 20 ottobre 2010, n. 7593).</w:t>
      </w:r>
    </w:p>
    <w:p w14:paraId="235F2516" w14:textId="77777777" w:rsidR="00ED5551" w:rsidRPr="00ED5551" w:rsidRDefault="00ED5551" w:rsidP="00ED5551">
      <w:pPr>
        <w:spacing w:line="520" w:lineRule="atLeast"/>
        <w:rPr>
          <w:rFonts w:ascii="&amp;quot" w:eastAsia="Times New Roman" w:hAnsi="&amp;quot" w:cs="Times New Roman"/>
          <w:color w:val="000000"/>
          <w:sz w:val="30"/>
          <w:szCs w:val="30"/>
          <w:lang w:eastAsia="it-IT"/>
        </w:rPr>
      </w:pPr>
      <w:r w:rsidRPr="00ED5551">
        <w:rPr>
          <w:rFonts w:ascii="&amp;quot" w:eastAsia="Times New Roman" w:hAnsi="&amp;quot" w:cs="Times New Roman"/>
          <w:color w:val="000000"/>
          <w:sz w:val="30"/>
          <w:szCs w:val="30"/>
          <w:lang w:eastAsia="it-IT"/>
        </w:rPr>
        <w:t>La regola ha carattere generale e può trovare applicazione anche al di fuori della materia delle procedure di gara per l’affidamento di contratti pubblici, ove è stata in più occasioni enunciata, e dunque anche all’odierna vicenda in cui si discute del riconoscimento di un finanziamento a carico del Comune ad associazioni culturali per l’organizzazione di pubblici spettacoli.</w:t>
      </w:r>
    </w:p>
    <w:p w14:paraId="141E7FD5" w14:textId="77777777" w:rsidR="00ED5551" w:rsidRPr="00ED5551" w:rsidRDefault="00ED5551" w:rsidP="00ED5551">
      <w:pPr>
        <w:spacing w:line="520" w:lineRule="atLeast"/>
        <w:rPr>
          <w:rFonts w:ascii="&amp;quot" w:eastAsia="Times New Roman" w:hAnsi="&amp;quot" w:cs="Times New Roman"/>
          <w:color w:val="000000"/>
          <w:sz w:val="30"/>
          <w:szCs w:val="30"/>
          <w:lang w:eastAsia="it-IT"/>
        </w:rPr>
      </w:pPr>
      <w:r w:rsidRPr="00ED5551">
        <w:rPr>
          <w:rFonts w:ascii="&amp;quot" w:eastAsia="Times New Roman" w:hAnsi="&amp;quot" w:cs="Times New Roman"/>
          <w:color w:val="000000"/>
          <w:sz w:val="30"/>
          <w:szCs w:val="30"/>
          <w:lang w:eastAsia="it-IT"/>
        </w:rPr>
        <w:t xml:space="preserve">5.2.4. Per l’ampia discrezionalità di cui godeva l’amministrazione comunale ed alla luce delle contrastanti allegazioni delle parti – quella del Comune di Roma, secondo la quale in precedenti procedure selettive l’Associazione culturale </w:t>
      </w:r>
      <w:proofErr w:type="spellStart"/>
      <w:r w:rsidRPr="00ED5551">
        <w:rPr>
          <w:rFonts w:ascii="&amp;quot" w:eastAsia="Times New Roman" w:hAnsi="&amp;quot" w:cs="Times New Roman"/>
          <w:color w:val="000000"/>
          <w:sz w:val="30"/>
          <w:szCs w:val="30"/>
          <w:lang w:eastAsia="it-IT"/>
        </w:rPr>
        <w:t>Cineporto</w:t>
      </w:r>
      <w:proofErr w:type="spellEnd"/>
      <w:r w:rsidRPr="00ED5551">
        <w:rPr>
          <w:rFonts w:ascii="&amp;quot" w:eastAsia="Times New Roman" w:hAnsi="&amp;quot" w:cs="Times New Roman"/>
          <w:color w:val="000000"/>
          <w:sz w:val="30"/>
          <w:szCs w:val="30"/>
          <w:lang w:eastAsia="it-IT"/>
        </w:rPr>
        <w:t xml:space="preserve"> non aveva raggiunto il livello minimo richiesto per accedere ai finanziamenti; quella dell’Associazione appellante che, invece, rivendica di aver negli ultimi venti anni contribuito con spettacoli dal vivo a animare il periodo estivo a Roma – non può dirsi raggiunta la prova di una elevata probabilità che l’odierna appellata, ove fosse stata regolarmente espletata una procedura comparativa tra tutte le associazioni culturali interessate ad ottenere finanziamenti per l’organizzazione di eventi nell’ambito dell’Estate Romana, avrebbe potuto utilmente collocarsi nell’ipotetica graduatoria finale.</w:t>
      </w:r>
    </w:p>
    <w:p w14:paraId="711AC2C0" w14:textId="77777777" w:rsidR="00ED5551" w:rsidRPr="00ED5551" w:rsidRDefault="00ED5551" w:rsidP="00ED5551">
      <w:pPr>
        <w:spacing w:line="520" w:lineRule="atLeast"/>
        <w:rPr>
          <w:rFonts w:ascii="&amp;quot" w:eastAsia="Times New Roman" w:hAnsi="&amp;quot" w:cs="Times New Roman"/>
          <w:color w:val="000000"/>
          <w:sz w:val="30"/>
          <w:szCs w:val="30"/>
          <w:lang w:eastAsia="it-IT"/>
        </w:rPr>
      </w:pPr>
      <w:r w:rsidRPr="00ED5551">
        <w:rPr>
          <w:rFonts w:ascii="&amp;quot" w:eastAsia="Times New Roman" w:hAnsi="&amp;quot" w:cs="Times New Roman"/>
          <w:color w:val="000000"/>
          <w:sz w:val="30"/>
          <w:szCs w:val="30"/>
          <w:lang w:eastAsia="it-IT"/>
        </w:rPr>
        <w:t xml:space="preserve">5.2.5. Per quanto detto non è superato il limite dell’aspettativa di fatto e nessuna posta può ammettersi a risarcimento, compreso, pertanto, il c.d. danno curriculare, così che sul punto l’appello è da accogliere e la sentenza impugnata da riformare. </w:t>
      </w:r>
    </w:p>
    <w:p w14:paraId="2AAE3EAE" w14:textId="77777777" w:rsidR="00ED5551" w:rsidRPr="00ED5551" w:rsidRDefault="00ED5551" w:rsidP="00ED5551">
      <w:pPr>
        <w:spacing w:line="520" w:lineRule="atLeast"/>
        <w:rPr>
          <w:rFonts w:ascii="&amp;quot" w:eastAsia="Times New Roman" w:hAnsi="&amp;quot" w:cs="Times New Roman"/>
          <w:color w:val="000000"/>
          <w:sz w:val="30"/>
          <w:szCs w:val="30"/>
          <w:lang w:eastAsia="it-IT"/>
        </w:rPr>
      </w:pPr>
      <w:r w:rsidRPr="00ED5551">
        <w:rPr>
          <w:rFonts w:ascii="&amp;quot" w:eastAsia="Times New Roman" w:hAnsi="&amp;quot" w:cs="Times New Roman"/>
          <w:color w:val="000000"/>
          <w:sz w:val="30"/>
          <w:szCs w:val="30"/>
          <w:lang w:eastAsia="it-IT"/>
        </w:rPr>
        <w:t xml:space="preserve">6. Passando all’esame dell’appello incidentale spiegata dall’Associazione culturale </w:t>
      </w:r>
      <w:proofErr w:type="spellStart"/>
      <w:r w:rsidRPr="00ED5551">
        <w:rPr>
          <w:rFonts w:ascii="&amp;quot" w:eastAsia="Times New Roman" w:hAnsi="&amp;quot" w:cs="Times New Roman"/>
          <w:color w:val="000000"/>
          <w:sz w:val="30"/>
          <w:szCs w:val="30"/>
          <w:lang w:eastAsia="it-IT"/>
        </w:rPr>
        <w:t>Cineporto</w:t>
      </w:r>
      <w:proofErr w:type="spellEnd"/>
      <w:r w:rsidRPr="00ED5551">
        <w:rPr>
          <w:rFonts w:ascii="&amp;quot" w:eastAsia="Times New Roman" w:hAnsi="&amp;quot" w:cs="Times New Roman"/>
          <w:color w:val="000000"/>
          <w:sz w:val="30"/>
          <w:szCs w:val="30"/>
          <w:lang w:eastAsia="it-IT"/>
        </w:rPr>
        <w:t>, esso è affidato ad un unico motivo, rubricato “</w:t>
      </w:r>
      <w:r w:rsidRPr="00ED5551">
        <w:rPr>
          <w:rFonts w:ascii="&amp;quot" w:eastAsia="Times New Roman" w:hAnsi="&amp;quot" w:cs="Times New Roman"/>
          <w:i/>
          <w:iCs/>
          <w:color w:val="000000"/>
          <w:sz w:val="30"/>
          <w:szCs w:val="30"/>
          <w:lang w:eastAsia="it-IT"/>
        </w:rPr>
        <w:t>Eccesso di potere per difetto di motivazione – Eccesso di potere per illogicità manifesta</w:t>
      </w:r>
      <w:r w:rsidRPr="00ED5551">
        <w:rPr>
          <w:rFonts w:ascii="&amp;quot" w:eastAsia="Times New Roman" w:hAnsi="&amp;quot" w:cs="Times New Roman"/>
          <w:color w:val="000000"/>
          <w:sz w:val="30"/>
          <w:szCs w:val="30"/>
          <w:lang w:eastAsia="it-IT"/>
        </w:rPr>
        <w:t xml:space="preserve">”, con cui si sostiene che il giudice di primo grado avrebbe erroneamente limitato l’annullamento alla deliberazione di Giunta comunale n. 160/2009, senza ricomprendervi anche le determinazioni dirigenziali del IV Dipartimento, impugnate con motivi aggiunti, con le quali erano stati concessi i finanziamenti alle associazioni culturali individuate nella predetta deliberazione. </w:t>
      </w:r>
    </w:p>
    <w:p w14:paraId="79A767A8" w14:textId="77777777" w:rsidR="00ED5551" w:rsidRPr="00ED5551" w:rsidRDefault="00ED5551" w:rsidP="00ED5551">
      <w:pPr>
        <w:spacing w:line="520" w:lineRule="atLeast"/>
        <w:rPr>
          <w:rFonts w:ascii="&amp;quot" w:eastAsia="Times New Roman" w:hAnsi="&amp;quot" w:cs="Times New Roman"/>
          <w:color w:val="000000"/>
          <w:sz w:val="30"/>
          <w:szCs w:val="30"/>
          <w:lang w:eastAsia="it-IT"/>
        </w:rPr>
      </w:pPr>
      <w:r w:rsidRPr="00ED5551">
        <w:rPr>
          <w:rFonts w:ascii="&amp;quot" w:eastAsia="Times New Roman" w:hAnsi="&amp;quot" w:cs="Times New Roman"/>
          <w:color w:val="000000"/>
          <w:sz w:val="30"/>
          <w:szCs w:val="30"/>
          <w:lang w:eastAsia="it-IT"/>
        </w:rPr>
        <w:t>Secondo l’appellante, annullato l’atto presupposto – nella specie la deliberazione di Giunta comunale n. 160/2009 – ne sarebbe derivato l’effetto caducante nei confronti di tutte le successive determinazioni che nell’atto annullato avevano il loro antecedente necessario.</w:t>
      </w:r>
    </w:p>
    <w:p w14:paraId="26409F0E" w14:textId="77777777" w:rsidR="00ED5551" w:rsidRPr="00ED5551" w:rsidRDefault="00ED5551" w:rsidP="00ED5551">
      <w:pPr>
        <w:spacing w:line="520" w:lineRule="atLeast"/>
        <w:rPr>
          <w:rFonts w:ascii="&amp;quot" w:eastAsia="Times New Roman" w:hAnsi="&amp;quot" w:cs="Times New Roman"/>
          <w:color w:val="000000"/>
          <w:sz w:val="30"/>
          <w:szCs w:val="30"/>
          <w:lang w:eastAsia="it-IT"/>
        </w:rPr>
      </w:pPr>
      <w:r w:rsidRPr="00ED5551">
        <w:rPr>
          <w:rFonts w:ascii="&amp;quot" w:eastAsia="Times New Roman" w:hAnsi="&amp;quot" w:cs="Times New Roman"/>
          <w:color w:val="000000"/>
          <w:sz w:val="30"/>
          <w:szCs w:val="30"/>
          <w:lang w:eastAsia="it-IT"/>
        </w:rPr>
        <w:t>Il motivo è infondato.</w:t>
      </w:r>
    </w:p>
    <w:p w14:paraId="18229BDA" w14:textId="77777777" w:rsidR="00ED5551" w:rsidRPr="00ED5551" w:rsidRDefault="00ED5551" w:rsidP="00ED5551">
      <w:pPr>
        <w:spacing w:line="520" w:lineRule="atLeast"/>
        <w:rPr>
          <w:rFonts w:ascii="&amp;quot" w:eastAsia="Times New Roman" w:hAnsi="&amp;quot" w:cs="Times New Roman"/>
          <w:color w:val="000000"/>
          <w:sz w:val="30"/>
          <w:szCs w:val="30"/>
          <w:lang w:eastAsia="it-IT"/>
        </w:rPr>
      </w:pPr>
      <w:r w:rsidRPr="00ED5551">
        <w:rPr>
          <w:rFonts w:ascii="&amp;quot" w:eastAsia="Times New Roman" w:hAnsi="&amp;quot" w:cs="Times New Roman"/>
          <w:color w:val="000000"/>
          <w:sz w:val="30"/>
          <w:szCs w:val="30"/>
          <w:lang w:eastAsia="it-IT"/>
        </w:rPr>
        <w:t>6.1. In realtà con la sentenza impugnata è stata annullata la sola deliberazione giuntale n. 160/2009, unitamente alle preparatorie direttive e disposizioni assessorili, sebbene non espressamente richiamate nella deliberazione di Giunta, senza estensione dell’annullamento alle determinazioni dirigenziali (impugnate con i motivi aggiunti) con le quali erano impegnati i fondi per ciascuna manifestazione, per carenza di interesse del ricorrente al loro annullamento, avendo questi ricevuto lesione solo dalla deliberazione di Giunta.</w:t>
      </w:r>
    </w:p>
    <w:p w14:paraId="02C1C3C7" w14:textId="77777777" w:rsidR="00ED5551" w:rsidRPr="00ED5551" w:rsidRDefault="00ED5551" w:rsidP="00ED5551">
      <w:pPr>
        <w:spacing w:line="520" w:lineRule="atLeast"/>
        <w:rPr>
          <w:rFonts w:ascii="&amp;quot" w:eastAsia="Times New Roman" w:hAnsi="&amp;quot" w:cs="Times New Roman"/>
          <w:color w:val="000000"/>
          <w:sz w:val="30"/>
          <w:szCs w:val="30"/>
          <w:lang w:eastAsia="it-IT"/>
        </w:rPr>
      </w:pPr>
      <w:r w:rsidRPr="00ED5551">
        <w:rPr>
          <w:rFonts w:ascii="&amp;quot" w:eastAsia="Times New Roman" w:hAnsi="&amp;quot" w:cs="Times New Roman"/>
          <w:color w:val="000000"/>
          <w:sz w:val="30"/>
          <w:szCs w:val="30"/>
          <w:lang w:eastAsia="it-IT"/>
        </w:rPr>
        <w:t xml:space="preserve">La motivazione è stata incentrato sull’assenza di una delle condizione dell’azione, l’interesse a ricorrente, in grado di sorreggere i motivi aggiunti proposti avverso detti atti dirigenziali; in tali limiti il ragionamento è condivisibile: l’Associazione ricorrente ha subito una lesione della situazione soggettiva di interesse legittimo per non aver il Comune svolto una procedura comparativa pubblica per la selezione delle associazioni beneficiarie dei finanziamenti stanziati per gli eventi nell’ambito dell’Estate Romana 2009. </w:t>
      </w:r>
    </w:p>
    <w:p w14:paraId="5E806B01" w14:textId="77777777" w:rsidR="00ED5551" w:rsidRPr="00ED5551" w:rsidRDefault="00ED5551" w:rsidP="00ED5551">
      <w:pPr>
        <w:spacing w:line="520" w:lineRule="atLeast"/>
        <w:rPr>
          <w:rFonts w:ascii="&amp;quot" w:eastAsia="Times New Roman" w:hAnsi="&amp;quot" w:cs="Times New Roman"/>
          <w:color w:val="000000"/>
          <w:sz w:val="30"/>
          <w:szCs w:val="30"/>
          <w:lang w:eastAsia="it-IT"/>
        </w:rPr>
      </w:pPr>
      <w:r w:rsidRPr="00ED5551">
        <w:rPr>
          <w:rFonts w:ascii="&amp;quot" w:eastAsia="Times New Roman" w:hAnsi="&amp;quot" w:cs="Times New Roman"/>
          <w:color w:val="000000"/>
          <w:sz w:val="30"/>
          <w:szCs w:val="30"/>
          <w:lang w:eastAsia="it-IT"/>
        </w:rPr>
        <w:t>Tale omissione è avvenuta con la deliberazione di Giunta comunale n. 160/2009, che ha individuato direttamente le associazioni le cui proposte artistiche erano finanziabili, ottenutane la caducazione, l’Associazione ricorrente ha conseguito la rimozione della lesione subita.</w:t>
      </w:r>
    </w:p>
    <w:p w14:paraId="7F95EAAA" w14:textId="77777777" w:rsidR="00ED5551" w:rsidRPr="00ED5551" w:rsidRDefault="00ED5551" w:rsidP="00ED5551">
      <w:pPr>
        <w:spacing w:line="520" w:lineRule="atLeast"/>
        <w:rPr>
          <w:rFonts w:ascii="&amp;quot" w:eastAsia="Times New Roman" w:hAnsi="&amp;quot" w:cs="Times New Roman"/>
          <w:color w:val="000000"/>
          <w:sz w:val="30"/>
          <w:szCs w:val="30"/>
          <w:lang w:eastAsia="it-IT"/>
        </w:rPr>
      </w:pPr>
      <w:r w:rsidRPr="00ED5551">
        <w:rPr>
          <w:rFonts w:ascii="&amp;quot" w:eastAsia="Times New Roman" w:hAnsi="&amp;quot" w:cs="Times New Roman"/>
          <w:color w:val="000000"/>
          <w:sz w:val="30"/>
          <w:szCs w:val="30"/>
          <w:lang w:eastAsia="it-IT"/>
        </w:rPr>
        <w:t>6.</w:t>
      </w:r>
      <w:proofErr w:type="gramStart"/>
      <w:r w:rsidRPr="00ED5551">
        <w:rPr>
          <w:rFonts w:ascii="&amp;quot" w:eastAsia="Times New Roman" w:hAnsi="&amp;quot" w:cs="Times New Roman"/>
          <w:color w:val="000000"/>
          <w:sz w:val="30"/>
          <w:szCs w:val="30"/>
          <w:lang w:eastAsia="it-IT"/>
        </w:rPr>
        <w:t>2.Le</w:t>
      </w:r>
      <w:proofErr w:type="gramEnd"/>
      <w:r w:rsidRPr="00ED5551">
        <w:rPr>
          <w:rFonts w:ascii="&amp;quot" w:eastAsia="Times New Roman" w:hAnsi="&amp;quot" w:cs="Times New Roman"/>
          <w:color w:val="000000"/>
          <w:sz w:val="30"/>
          <w:szCs w:val="30"/>
          <w:lang w:eastAsia="it-IT"/>
        </w:rPr>
        <w:t xml:space="preserve"> determinazioni dirigenziali di avvio della procedura per il pagamento delle somme a favore delle associazioni culturali in precedenza individuate, del resto, non costituivano ulteriori atti della medesima sequenza procedimentale della deliberazione di Giunta n. 160/2009, perpetuanti la lesione subita dalla ricorrente, quanto invece i primi atti di una ordinaria procedura di pagamento dell’obbligazione pecuniaria assunta con la determinazione di Giunta.</w:t>
      </w:r>
    </w:p>
    <w:p w14:paraId="355882C8" w14:textId="77777777" w:rsidR="00ED5551" w:rsidRPr="00ED5551" w:rsidRDefault="00ED5551" w:rsidP="00ED5551">
      <w:pPr>
        <w:spacing w:line="520" w:lineRule="atLeast"/>
        <w:rPr>
          <w:rFonts w:ascii="&amp;quot" w:eastAsia="Times New Roman" w:hAnsi="&amp;quot" w:cs="Times New Roman"/>
          <w:color w:val="000000"/>
          <w:sz w:val="30"/>
          <w:szCs w:val="30"/>
          <w:lang w:eastAsia="it-IT"/>
        </w:rPr>
      </w:pPr>
      <w:r w:rsidRPr="00ED5551">
        <w:rPr>
          <w:rFonts w:ascii="&amp;quot" w:eastAsia="Times New Roman" w:hAnsi="&amp;quot" w:cs="Times New Roman"/>
          <w:color w:val="000000"/>
          <w:sz w:val="30"/>
          <w:szCs w:val="30"/>
          <w:lang w:eastAsia="it-IT"/>
        </w:rPr>
        <w:t xml:space="preserve">La caducazione di essa comporta il venir meno del titolo dell’obbligazione, con ogni eventuale conseguenza in ordine alla conservazione dei pagamenti effettuati, senza che, però, di tale profilo possa aver interesse l’associazione ricorrente, che, infatti, ben consapevole di ciò, ha, richiesto, sin dal primo grado, il risarcimento del danno. </w:t>
      </w:r>
    </w:p>
    <w:p w14:paraId="1F9DF26C" w14:textId="77777777" w:rsidR="00ED5551" w:rsidRPr="00ED5551" w:rsidRDefault="00ED5551" w:rsidP="00ED5551">
      <w:pPr>
        <w:spacing w:line="520" w:lineRule="atLeast"/>
        <w:rPr>
          <w:rFonts w:ascii="&amp;quot" w:eastAsia="Times New Roman" w:hAnsi="&amp;quot" w:cs="Times New Roman"/>
          <w:color w:val="000000"/>
          <w:sz w:val="30"/>
          <w:szCs w:val="30"/>
          <w:lang w:eastAsia="it-IT"/>
        </w:rPr>
      </w:pPr>
      <w:r w:rsidRPr="00ED5551">
        <w:rPr>
          <w:rFonts w:ascii="&amp;quot" w:eastAsia="Times New Roman" w:hAnsi="&amp;quot" w:cs="Times New Roman"/>
          <w:color w:val="000000"/>
          <w:sz w:val="30"/>
          <w:szCs w:val="30"/>
          <w:lang w:eastAsia="it-IT"/>
        </w:rPr>
        <w:t xml:space="preserve">7. In conclusione, in accoglimento del secondo motivo dell’appello principale, la sentenza impugnata deve essere riformata </w:t>
      </w:r>
      <w:r w:rsidRPr="00ED5551">
        <w:rPr>
          <w:rFonts w:ascii="&amp;quot" w:eastAsia="Times New Roman" w:hAnsi="&amp;quot" w:cs="Times New Roman"/>
          <w:i/>
          <w:iCs/>
          <w:color w:val="000000"/>
          <w:sz w:val="30"/>
          <w:szCs w:val="30"/>
          <w:lang w:eastAsia="it-IT"/>
        </w:rPr>
        <w:t>in parte qua</w:t>
      </w:r>
      <w:r w:rsidRPr="00ED5551">
        <w:rPr>
          <w:rFonts w:ascii="&amp;quot" w:eastAsia="Times New Roman" w:hAnsi="&amp;quot" w:cs="Times New Roman"/>
          <w:color w:val="000000"/>
          <w:sz w:val="30"/>
          <w:szCs w:val="30"/>
          <w:lang w:eastAsia="it-IT"/>
        </w:rPr>
        <w:t xml:space="preserve"> e deve essere respinta la domanda di risarcimento del danno proposta dalla Associazione culturale </w:t>
      </w:r>
      <w:proofErr w:type="spellStart"/>
      <w:r w:rsidRPr="00ED5551">
        <w:rPr>
          <w:rFonts w:ascii="&amp;quot" w:eastAsia="Times New Roman" w:hAnsi="&amp;quot" w:cs="Times New Roman"/>
          <w:color w:val="000000"/>
          <w:sz w:val="30"/>
          <w:szCs w:val="30"/>
          <w:lang w:eastAsia="it-IT"/>
        </w:rPr>
        <w:t>Cineporto</w:t>
      </w:r>
      <w:proofErr w:type="spellEnd"/>
      <w:r w:rsidRPr="00ED5551">
        <w:rPr>
          <w:rFonts w:ascii="&amp;quot" w:eastAsia="Times New Roman" w:hAnsi="&amp;quot" w:cs="Times New Roman"/>
          <w:color w:val="000000"/>
          <w:sz w:val="30"/>
          <w:szCs w:val="30"/>
          <w:lang w:eastAsia="it-IT"/>
        </w:rPr>
        <w:t>, ferma ogni altra statuizione.</w:t>
      </w:r>
    </w:p>
    <w:p w14:paraId="0969E2D1" w14:textId="77777777" w:rsidR="00ED5551" w:rsidRPr="00ED5551" w:rsidRDefault="00ED5551" w:rsidP="00ED5551">
      <w:pPr>
        <w:spacing w:line="520" w:lineRule="atLeast"/>
        <w:rPr>
          <w:rFonts w:ascii="&amp;quot" w:eastAsia="Times New Roman" w:hAnsi="&amp;quot" w:cs="Times New Roman"/>
          <w:color w:val="000000"/>
          <w:sz w:val="30"/>
          <w:szCs w:val="30"/>
          <w:lang w:eastAsia="it-IT"/>
        </w:rPr>
      </w:pPr>
      <w:r w:rsidRPr="00ED5551">
        <w:rPr>
          <w:rFonts w:ascii="&amp;quot" w:eastAsia="Times New Roman" w:hAnsi="&amp;quot" w:cs="Times New Roman"/>
          <w:color w:val="000000"/>
          <w:sz w:val="30"/>
          <w:szCs w:val="30"/>
          <w:lang w:eastAsia="it-IT"/>
        </w:rPr>
        <w:t>Il ricorso incidentale deve essere invece respinto.</w:t>
      </w:r>
    </w:p>
    <w:p w14:paraId="3E2F2DA3" w14:textId="77777777" w:rsidR="00ED5551" w:rsidRPr="00ED5551" w:rsidRDefault="00ED5551" w:rsidP="00ED5551">
      <w:pPr>
        <w:spacing w:line="520" w:lineRule="atLeast"/>
        <w:rPr>
          <w:rFonts w:ascii="&amp;quot" w:eastAsia="Times New Roman" w:hAnsi="&amp;quot" w:cs="Times New Roman"/>
          <w:color w:val="000000"/>
          <w:sz w:val="30"/>
          <w:szCs w:val="30"/>
          <w:lang w:eastAsia="it-IT"/>
        </w:rPr>
      </w:pPr>
      <w:r w:rsidRPr="00ED5551">
        <w:rPr>
          <w:rFonts w:ascii="&amp;quot" w:eastAsia="Times New Roman" w:hAnsi="&amp;quot" w:cs="Times New Roman"/>
          <w:color w:val="000000"/>
          <w:sz w:val="30"/>
          <w:szCs w:val="30"/>
          <w:lang w:eastAsia="it-IT"/>
        </w:rPr>
        <w:t>8. La reciproca soccombenza giustifica l’integrale compensazione delle spese del presente grado del giudizio tra le parti costituite.</w:t>
      </w:r>
    </w:p>
    <w:p w14:paraId="32F6AB85" w14:textId="77777777" w:rsidR="00ED5551" w:rsidRPr="00ED5551" w:rsidRDefault="00ED5551" w:rsidP="00ED5551">
      <w:pPr>
        <w:spacing w:line="540" w:lineRule="atLeast"/>
        <w:jc w:val="center"/>
        <w:rPr>
          <w:rFonts w:ascii="&amp;quot" w:eastAsia="Times New Roman" w:hAnsi="&amp;quot" w:cs="Times New Roman"/>
          <w:color w:val="000000"/>
          <w:sz w:val="30"/>
          <w:szCs w:val="30"/>
          <w:lang w:eastAsia="it-IT"/>
        </w:rPr>
      </w:pPr>
      <w:r w:rsidRPr="00ED5551">
        <w:rPr>
          <w:rFonts w:ascii="&amp;quot" w:eastAsia="Times New Roman" w:hAnsi="&amp;quot" w:cs="Times New Roman"/>
          <w:color w:val="000000"/>
          <w:sz w:val="30"/>
          <w:szCs w:val="30"/>
          <w:lang w:eastAsia="it-IT"/>
        </w:rPr>
        <w:t>P.Q.M.</w:t>
      </w:r>
    </w:p>
    <w:p w14:paraId="3C1ED6F9" w14:textId="77777777" w:rsidR="00ED5551" w:rsidRPr="00ED5551" w:rsidRDefault="00ED5551" w:rsidP="00ED5551">
      <w:pPr>
        <w:spacing w:line="520" w:lineRule="atLeast"/>
        <w:rPr>
          <w:rFonts w:ascii="&amp;quot" w:eastAsia="Times New Roman" w:hAnsi="&amp;quot" w:cs="Times New Roman"/>
          <w:color w:val="000000"/>
          <w:sz w:val="30"/>
          <w:szCs w:val="30"/>
          <w:lang w:eastAsia="it-IT"/>
        </w:rPr>
      </w:pPr>
      <w:r w:rsidRPr="00ED5551">
        <w:rPr>
          <w:rFonts w:ascii="&amp;quot" w:eastAsia="Times New Roman" w:hAnsi="&amp;quot" w:cs="Times New Roman"/>
          <w:color w:val="000000"/>
          <w:sz w:val="30"/>
          <w:szCs w:val="30"/>
          <w:lang w:eastAsia="it-IT"/>
        </w:rPr>
        <w:t xml:space="preserve">Il Consiglio di Stato in sede giurisdizionale (Sezione Quinta), definitivamente pronunciando sull'appello principale, come in epigrafe proposto, in accoglimento del secondo motivo ed in parziale riforma della sentenza impugnata, respinge la domanda di risarcimento del danno proposta dall’Associazione culturale </w:t>
      </w:r>
      <w:proofErr w:type="spellStart"/>
      <w:r w:rsidRPr="00ED5551">
        <w:rPr>
          <w:rFonts w:ascii="&amp;quot" w:eastAsia="Times New Roman" w:hAnsi="&amp;quot" w:cs="Times New Roman"/>
          <w:color w:val="000000"/>
          <w:sz w:val="30"/>
          <w:szCs w:val="30"/>
          <w:lang w:eastAsia="it-IT"/>
        </w:rPr>
        <w:t>Cineporto</w:t>
      </w:r>
      <w:proofErr w:type="spellEnd"/>
      <w:r w:rsidRPr="00ED5551">
        <w:rPr>
          <w:rFonts w:ascii="&amp;quot" w:eastAsia="Times New Roman" w:hAnsi="&amp;quot" w:cs="Times New Roman"/>
          <w:color w:val="000000"/>
          <w:sz w:val="30"/>
          <w:szCs w:val="30"/>
          <w:lang w:eastAsia="it-IT"/>
        </w:rPr>
        <w:t>.</w:t>
      </w:r>
    </w:p>
    <w:p w14:paraId="0629D724" w14:textId="77777777" w:rsidR="00ED5551" w:rsidRPr="00ED5551" w:rsidRDefault="00ED5551" w:rsidP="00ED5551">
      <w:pPr>
        <w:spacing w:line="520" w:lineRule="atLeast"/>
        <w:rPr>
          <w:rFonts w:ascii="&amp;quot" w:eastAsia="Times New Roman" w:hAnsi="&amp;quot" w:cs="Times New Roman"/>
          <w:color w:val="000000"/>
          <w:sz w:val="30"/>
          <w:szCs w:val="30"/>
          <w:lang w:eastAsia="it-IT"/>
        </w:rPr>
      </w:pPr>
      <w:r w:rsidRPr="00ED5551">
        <w:rPr>
          <w:rFonts w:ascii="&amp;quot" w:eastAsia="Times New Roman" w:hAnsi="&amp;quot" w:cs="Times New Roman"/>
          <w:color w:val="000000"/>
          <w:sz w:val="30"/>
          <w:szCs w:val="30"/>
          <w:lang w:eastAsia="it-IT"/>
        </w:rPr>
        <w:t>Respinge l’appello incidentale.</w:t>
      </w:r>
    </w:p>
    <w:p w14:paraId="0E2F3AE6" w14:textId="77777777" w:rsidR="00ED5551" w:rsidRPr="00ED5551" w:rsidRDefault="00ED5551" w:rsidP="00ED5551">
      <w:pPr>
        <w:spacing w:line="520" w:lineRule="atLeast"/>
        <w:rPr>
          <w:rFonts w:ascii="&amp;quot" w:eastAsia="Times New Roman" w:hAnsi="&amp;quot" w:cs="Times New Roman"/>
          <w:color w:val="000000"/>
          <w:sz w:val="30"/>
          <w:szCs w:val="30"/>
          <w:lang w:eastAsia="it-IT"/>
        </w:rPr>
      </w:pPr>
      <w:r w:rsidRPr="00ED5551">
        <w:rPr>
          <w:rFonts w:ascii="&amp;quot" w:eastAsia="Times New Roman" w:hAnsi="&amp;quot" w:cs="Times New Roman"/>
          <w:color w:val="000000"/>
          <w:sz w:val="30"/>
          <w:szCs w:val="30"/>
          <w:lang w:eastAsia="it-IT"/>
        </w:rPr>
        <w:t xml:space="preserve">Compensa tra le parti costituite le spese dell’odierno grado del giudizio. </w:t>
      </w:r>
    </w:p>
    <w:p w14:paraId="44F35395" w14:textId="77777777" w:rsidR="00ED5551" w:rsidRPr="00ED5551" w:rsidRDefault="00ED5551" w:rsidP="00ED5551">
      <w:pPr>
        <w:spacing w:line="520" w:lineRule="atLeast"/>
        <w:rPr>
          <w:rFonts w:ascii="&amp;quot" w:eastAsia="Times New Roman" w:hAnsi="&amp;quot" w:cs="Times New Roman"/>
          <w:color w:val="000000"/>
          <w:sz w:val="30"/>
          <w:szCs w:val="30"/>
          <w:lang w:eastAsia="it-IT"/>
        </w:rPr>
      </w:pPr>
      <w:r w:rsidRPr="00ED5551">
        <w:rPr>
          <w:rFonts w:ascii="&amp;quot" w:eastAsia="Times New Roman" w:hAnsi="&amp;quot" w:cs="Times New Roman"/>
          <w:color w:val="000000"/>
          <w:sz w:val="30"/>
          <w:szCs w:val="30"/>
          <w:lang w:eastAsia="it-IT"/>
        </w:rPr>
        <w:t>Ordina che la presente sentenza sia eseguita dall'autorità amministrativa.</w:t>
      </w:r>
    </w:p>
    <w:p w14:paraId="45DA66A7" w14:textId="77777777" w:rsidR="00ED5551" w:rsidRPr="00ED5551" w:rsidRDefault="00ED5551" w:rsidP="00ED5551">
      <w:pPr>
        <w:spacing w:line="520" w:lineRule="atLeast"/>
        <w:rPr>
          <w:rFonts w:ascii="&amp;quot" w:eastAsia="Times New Roman" w:hAnsi="&amp;quot" w:cs="Times New Roman"/>
          <w:color w:val="000000"/>
          <w:sz w:val="30"/>
          <w:szCs w:val="30"/>
          <w:lang w:eastAsia="it-IT"/>
        </w:rPr>
      </w:pPr>
      <w:r w:rsidRPr="00ED5551">
        <w:rPr>
          <w:rFonts w:ascii="&amp;quot" w:eastAsia="Times New Roman" w:hAnsi="&amp;quot" w:cs="Times New Roman"/>
          <w:color w:val="000000"/>
          <w:sz w:val="30"/>
          <w:szCs w:val="30"/>
          <w:lang w:eastAsia="it-IT"/>
        </w:rPr>
        <w:t>Così deciso in Roma nella camera di consiglio del giorno 18 luglio 2019 con l'intervento dei magistrati:</w:t>
      </w:r>
    </w:p>
    <w:p w14:paraId="66A0E13E" w14:textId="77777777" w:rsidR="00ED5551" w:rsidRPr="00ED5551" w:rsidRDefault="00ED5551" w:rsidP="00ED5551">
      <w:pPr>
        <w:spacing w:line="520" w:lineRule="atLeast"/>
        <w:ind w:firstLine="567"/>
        <w:jc w:val="left"/>
        <w:rPr>
          <w:rFonts w:ascii="&amp;quot" w:eastAsia="Times New Roman" w:hAnsi="&amp;quot" w:cs="Times New Roman"/>
          <w:color w:val="000000"/>
          <w:sz w:val="30"/>
          <w:szCs w:val="30"/>
          <w:lang w:eastAsia="it-IT"/>
        </w:rPr>
      </w:pPr>
      <w:r w:rsidRPr="00ED5551">
        <w:rPr>
          <w:rFonts w:ascii="&amp;quot" w:eastAsia="Times New Roman" w:hAnsi="&amp;quot" w:cs="Times New Roman"/>
          <w:color w:val="000000"/>
          <w:sz w:val="30"/>
          <w:szCs w:val="30"/>
          <w:lang w:eastAsia="it-IT"/>
        </w:rPr>
        <w:t>Carlo Saltelli, Presidente</w:t>
      </w:r>
    </w:p>
    <w:p w14:paraId="44EDF9CA" w14:textId="77777777" w:rsidR="00ED5551" w:rsidRPr="00ED5551" w:rsidRDefault="00ED5551" w:rsidP="00ED5551">
      <w:pPr>
        <w:spacing w:line="520" w:lineRule="atLeast"/>
        <w:ind w:firstLine="567"/>
        <w:jc w:val="left"/>
        <w:rPr>
          <w:rFonts w:ascii="&amp;quot" w:eastAsia="Times New Roman" w:hAnsi="&amp;quot" w:cs="Times New Roman"/>
          <w:color w:val="000000"/>
          <w:sz w:val="30"/>
          <w:szCs w:val="30"/>
          <w:lang w:eastAsia="it-IT"/>
        </w:rPr>
      </w:pPr>
      <w:r w:rsidRPr="00ED5551">
        <w:rPr>
          <w:rFonts w:ascii="&amp;quot" w:eastAsia="Times New Roman" w:hAnsi="&amp;quot" w:cs="Times New Roman"/>
          <w:color w:val="000000"/>
          <w:sz w:val="30"/>
          <w:szCs w:val="30"/>
          <w:lang w:eastAsia="it-IT"/>
        </w:rPr>
        <w:t>Valerio Perotti, Consigliere</w:t>
      </w:r>
    </w:p>
    <w:p w14:paraId="7894944B" w14:textId="77777777" w:rsidR="00ED5551" w:rsidRPr="00ED5551" w:rsidRDefault="00ED5551" w:rsidP="00ED5551">
      <w:pPr>
        <w:spacing w:line="520" w:lineRule="atLeast"/>
        <w:ind w:firstLine="567"/>
        <w:jc w:val="left"/>
        <w:rPr>
          <w:rFonts w:ascii="&amp;quot" w:eastAsia="Times New Roman" w:hAnsi="&amp;quot" w:cs="Times New Roman"/>
          <w:color w:val="000000"/>
          <w:sz w:val="30"/>
          <w:szCs w:val="30"/>
          <w:lang w:eastAsia="it-IT"/>
        </w:rPr>
      </w:pPr>
      <w:r w:rsidRPr="00ED5551">
        <w:rPr>
          <w:rFonts w:ascii="&amp;quot" w:eastAsia="Times New Roman" w:hAnsi="&amp;quot" w:cs="Times New Roman"/>
          <w:color w:val="000000"/>
          <w:sz w:val="30"/>
          <w:szCs w:val="30"/>
          <w:lang w:eastAsia="it-IT"/>
        </w:rPr>
        <w:t>Federico Di Matteo, Consigliere, Estensore</w:t>
      </w:r>
    </w:p>
    <w:p w14:paraId="770A003F" w14:textId="77777777" w:rsidR="00ED5551" w:rsidRPr="00ED5551" w:rsidRDefault="00ED5551" w:rsidP="00ED5551">
      <w:pPr>
        <w:spacing w:line="520" w:lineRule="atLeast"/>
        <w:ind w:firstLine="567"/>
        <w:jc w:val="left"/>
        <w:rPr>
          <w:rFonts w:ascii="&amp;quot" w:eastAsia="Times New Roman" w:hAnsi="&amp;quot" w:cs="Times New Roman"/>
          <w:color w:val="000000"/>
          <w:sz w:val="30"/>
          <w:szCs w:val="30"/>
          <w:lang w:eastAsia="it-IT"/>
        </w:rPr>
      </w:pPr>
      <w:r w:rsidRPr="00ED5551">
        <w:rPr>
          <w:rFonts w:ascii="&amp;quot" w:eastAsia="Times New Roman" w:hAnsi="&amp;quot" w:cs="Times New Roman"/>
          <w:color w:val="000000"/>
          <w:sz w:val="30"/>
          <w:szCs w:val="30"/>
          <w:lang w:eastAsia="it-IT"/>
        </w:rPr>
        <w:t>Giovanni Grasso, Consigliere</w:t>
      </w:r>
    </w:p>
    <w:p w14:paraId="55B86C98" w14:textId="77777777" w:rsidR="00ED5551" w:rsidRPr="00ED5551" w:rsidRDefault="00ED5551" w:rsidP="00ED5551">
      <w:pPr>
        <w:spacing w:line="520" w:lineRule="atLeast"/>
        <w:ind w:firstLine="567"/>
        <w:jc w:val="left"/>
        <w:rPr>
          <w:rFonts w:ascii="&amp;quot" w:eastAsia="Times New Roman" w:hAnsi="&amp;quot" w:cs="Times New Roman"/>
          <w:color w:val="000000"/>
          <w:sz w:val="30"/>
          <w:szCs w:val="30"/>
          <w:lang w:eastAsia="it-IT"/>
        </w:rPr>
      </w:pPr>
      <w:r w:rsidRPr="00ED5551">
        <w:rPr>
          <w:rFonts w:ascii="&amp;quot" w:eastAsia="Times New Roman" w:hAnsi="&amp;quot" w:cs="Times New Roman"/>
          <w:color w:val="000000"/>
          <w:sz w:val="30"/>
          <w:szCs w:val="30"/>
          <w:lang w:eastAsia="it-IT"/>
        </w:rPr>
        <w:t>Alberto Urso, Consigliere</w:t>
      </w:r>
    </w:p>
    <w:tbl>
      <w:tblPr>
        <w:tblW w:w="5000" w:type="pct"/>
        <w:tblCellMar>
          <w:top w:w="15" w:type="dxa"/>
          <w:left w:w="15" w:type="dxa"/>
          <w:bottom w:w="15" w:type="dxa"/>
          <w:right w:w="15" w:type="dxa"/>
        </w:tblCellMar>
        <w:tblLook w:val="04A0" w:firstRow="1" w:lastRow="0" w:firstColumn="1" w:lastColumn="0" w:noHBand="0" w:noVBand="1"/>
      </w:tblPr>
      <w:tblGrid>
        <w:gridCol w:w="5284"/>
        <w:gridCol w:w="77"/>
        <w:gridCol w:w="4277"/>
      </w:tblGrid>
      <w:tr w:rsidR="00ED5551" w:rsidRPr="00ED5551" w14:paraId="1D62B98A" w14:textId="77777777" w:rsidTr="00ED5551">
        <w:tc>
          <w:tcPr>
            <w:tcW w:w="0" w:type="auto"/>
            <w:vAlign w:val="center"/>
            <w:hideMark/>
          </w:tcPr>
          <w:p w14:paraId="1F2AD8DD" w14:textId="77777777" w:rsidR="00ED5551" w:rsidRPr="00ED5551" w:rsidRDefault="00ED5551" w:rsidP="00ED5551">
            <w:pPr>
              <w:jc w:val="center"/>
              <w:rPr>
                <w:rFonts w:ascii="&amp;quot" w:eastAsia="Times New Roman" w:hAnsi="&amp;quot" w:cs="Times New Roman"/>
                <w:b/>
                <w:bCs/>
                <w:color w:val="000000"/>
                <w:szCs w:val="28"/>
                <w:lang w:eastAsia="it-IT"/>
              </w:rPr>
            </w:pPr>
            <w:r w:rsidRPr="00ED5551">
              <w:rPr>
                <w:rFonts w:ascii="&amp;quot" w:eastAsia="Times New Roman" w:hAnsi="&amp;quot" w:cs="Times New Roman"/>
                <w:b/>
                <w:bCs/>
                <w:color w:val="000000"/>
                <w:szCs w:val="28"/>
                <w:lang w:eastAsia="it-IT"/>
              </w:rPr>
              <w:t> </w:t>
            </w:r>
          </w:p>
        </w:tc>
        <w:tc>
          <w:tcPr>
            <w:tcW w:w="0" w:type="auto"/>
            <w:vAlign w:val="center"/>
            <w:hideMark/>
          </w:tcPr>
          <w:p w14:paraId="49CE615D" w14:textId="77777777" w:rsidR="00ED5551" w:rsidRPr="00ED5551" w:rsidRDefault="00ED5551" w:rsidP="00ED5551">
            <w:pPr>
              <w:jc w:val="center"/>
              <w:rPr>
                <w:rFonts w:ascii="&amp;quot" w:eastAsia="Times New Roman" w:hAnsi="&amp;quot" w:cs="Times New Roman"/>
                <w:b/>
                <w:bCs/>
                <w:color w:val="000000"/>
                <w:szCs w:val="28"/>
                <w:lang w:eastAsia="it-IT"/>
              </w:rPr>
            </w:pPr>
          </w:p>
        </w:tc>
        <w:tc>
          <w:tcPr>
            <w:tcW w:w="0" w:type="auto"/>
            <w:vAlign w:val="center"/>
            <w:hideMark/>
          </w:tcPr>
          <w:p w14:paraId="0D7A06C7" w14:textId="77777777" w:rsidR="00ED5551" w:rsidRPr="00ED5551" w:rsidRDefault="00ED5551" w:rsidP="00ED5551">
            <w:pPr>
              <w:jc w:val="center"/>
              <w:rPr>
                <w:rFonts w:ascii="Times New Roman" w:eastAsia="Times New Roman" w:hAnsi="Times New Roman" w:cs="Times New Roman"/>
                <w:sz w:val="20"/>
                <w:szCs w:val="20"/>
                <w:lang w:eastAsia="it-IT"/>
              </w:rPr>
            </w:pPr>
          </w:p>
        </w:tc>
      </w:tr>
      <w:tr w:rsidR="00ED5551" w:rsidRPr="00ED5551" w14:paraId="25C3DCC3" w14:textId="77777777" w:rsidTr="00ED5551">
        <w:tc>
          <w:tcPr>
            <w:tcW w:w="0" w:type="auto"/>
            <w:vAlign w:val="center"/>
            <w:hideMark/>
          </w:tcPr>
          <w:p w14:paraId="6F74B447" w14:textId="77777777" w:rsidR="00ED5551" w:rsidRPr="00ED5551" w:rsidRDefault="00ED5551" w:rsidP="00ED5551">
            <w:pPr>
              <w:jc w:val="center"/>
              <w:rPr>
                <w:rFonts w:ascii="&amp;quot" w:eastAsia="Times New Roman" w:hAnsi="&amp;quot" w:cs="Times New Roman"/>
                <w:b/>
                <w:bCs/>
                <w:color w:val="000000"/>
                <w:szCs w:val="28"/>
                <w:lang w:eastAsia="it-IT"/>
              </w:rPr>
            </w:pPr>
            <w:r w:rsidRPr="00ED5551">
              <w:rPr>
                <w:rFonts w:ascii="&amp;quot" w:eastAsia="Times New Roman" w:hAnsi="&amp;quot" w:cs="Times New Roman"/>
                <w:b/>
                <w:bCs/>
                <w:color w:val="000000"/>
                <w:szCs w:val="28"/>
                <w:lang w:eastAsia="it-IT"/>
              </w:rPr>
              <w:t> </w:t>
            </w:r>
          </w:p>
        </w:tc>
        <w:tc>
          <w:tcPr>
            <w:tcW w:w="0" w:type="auto"/>
            <w:vAlign w:val="center"/>
            <w:hideMark/>
          </w:tcPr>
          <w:p w14:paraId="6B34FD21" w14:textId="77777777" w:rsidR="00ED5551" w:rsidRPr="00ED5551" w:rsidRDefault="00ED5551" w:rsidP="00ED5551">
            <w:pPr>
              <w:jc w:val="center"/>
              <w:rPr>
                <w:rFonts w:ascii="&amp;quot" w:eastAsia="Times New Roman" w:hAnsi="&amp;quot" w:cs="Times New Roman"/>
                <w:b/>
                <w:bCs/>
                <w:color w:val="000000"/>
                <w:szCs w:val="28"/>
                <w:lang w:eastAsia="it-IT"/>
              </w:rPr>
            </w:pPr>
          </w:p>
        </w:tc>
        <w:tc>
          <w:tcPr>
            <w:tcW w:w="0" w:type="auto"/>
            <w:vAlign w:val="center"/>
            <w:hideMark/>
          </w:tcPr>
          <w:p w14:paraId="6ADFC635" w14:textId="77777777" w:rsidR="00ED5551" w:rsidRPr="00ED5551" w:rsidRDefault="00ED5551" w:rsidP="00ED5551">
            <w:pPr>
              <w:jc w:val="center"/>
              <w:rPr>
                <w:rFonts w:ascii="Times New Roman" w:eastAsia="Times New Roman" w:hAnsi="Times New Roman" w:cs="Times New Roman"/>
                <w:sz w:val="20"/>
                <w:szCs w:val="20"/>
                <w:lang w:eastAsia="it-IT"/>
              </w:rPr>
            </w:pPr>
          </w:p>
        </w:tc>
      </w:tr>
      <w:tr w:rsidR="00ED5551" w:rsidRPr="00ED5551" w14:paraId="79F3D722" w14:textId="77777777" w:rsidTr="00ED5551">
        <w:tc>
          <w:tcPr>
            <w:tcW w:w="0" w:type="auto"/>
            <w:vAlign w:val="center"/>
            <w:hideMark/>
          </w:tcPr>
          <w:p w14:paraId="65F8E1E8" w14:textId="77777777" w:rsidR="00ED5551" w:rsidRPr="00ED5551" w:rsidRDefault="00ED5551" w:rsidP="00ED5551">
            <w:pPr>
              <w:jc w:val="center"/>
              <w:rPr>
                <w:rFonts w:ascii="&amp;quot" w:eastAsia="Times New Roman" w:hAnsi="&amp;quot" w:cs="Times New Roman"/>
                <w:b/>
                <w:bCs/>
                <w:color w:val="000000"/>
                <w:szCs w:val="28"/>
                <w:lang w:eastAsia="it-IT"/>
              </w:rPr>
            </w:pPr>
            <w:r w:rsidRPr="00ED5551">
              <w:rPr>
                <w:rFonts w:ascii="&amp;quot" w:eastAsia="Times New Roman" w:hAnsi="&amp;quot" w:cs="Times New Roman"/>
                <w:b/>
                <w:bCs/>
                <w:color w:val="000000"/>
                <w:szCs w:val="28"/>
                <w:lang w:eastAsia="it-IT"/>
              </w:rPr>
              <w:t>L'ESTENSORE</w:t>
            </w:r>
          </w:p>
        </w:tc>
        <w:tc>
          <w:tcPr>
            <w:tcW w:w="0" w:type="auto"/>
            <w:vAlign w:val="center"/>
            <w:hideMark/>
          </w:tcPr>
          <w:p w14:paraId="17FF5C8C" w14:textId="77777777" w:rsidR="00ED5551" w:rsidRPr="00ED5551" w:rsidRDefault="00ED5551" w:rsidP="00ED5551">
            <w:pPr>
              <w:jc w:val="center"/>
              <w:rPr>
                <w:rFonts w:ascii="&amp;quot" w:eastAsia="Times New Roman" w:hAnsi="&amp;quot" w:cs="Times New Roman"/>
                <w:b/>
                <w:bCs/>
                <w:color w:val="000000"/>
                <w:szCs w:val="28"/>
                <w:lang w:eastAsia="it-IT"/>
              </w:rPr>
            </w:pPr>
          </w:p>
        </w:tc>
        <w:tc>
          <w:tcPr>
            <w:tcW w:w="0" w:type="auto"/>
            <w:vAlign w:val="center"/>
            <w:hideMark/>
          </w:tcPr>
          <w:p w14:paraId="3A8E237A" w14:textId="77777777" w:rsidR="00ED5551" w:rsidRPr="00ED5551" w:rsidRDefault="00ED5551" w:rsidP="00ED5551">
            <w:pPr>
              <w:jc w:val="center"/>
              <w:rPr>
                <w:rFonts w:ascii="&amp;quot" w:eastAsia="Times New Roman" w:hAnsi="&amp;quot" w:cs="Times New Roman"/>
                <w:b/>
                <w:bCs/>
                <w:color w:val="000000"/>
                <w:szCs w:val="28"/>
                <w:lang w:eastAsia="it-IT"/>
              </w:rPr>
            </w:pPr>
            <w:r w:rsidRPr="00ED5551">
              <w:rPr>
                <w:rFonts w:ascii="&amp;quot" w:eastAsia="Times New Roman" w:hAnsi="&amp;quot" w:cs="Times New Roman"/>
                <w:b/>
                <w:bCs/>
                <w:color w:val="000000"/>
                <w:szCs w:val="28"/>
                <w:lang w:eastAsia="it-IT"/>
              </w:rPr>
              <w:t>IL PRESIDENTE</w:t>
            </w:r>
          </w:p>
        </w:tc>
      </w:tr>
      <w:tr w:rsidR="00ED5551" w:rsidRPr="00ED5551" w14:paraId="19B7CB1A" w14:textId="77777777" w:rsidTr="00ED5551">
        <w:tc>
          <w:tcPr>
            <w:tcW w:w="0" w:type="auto"/>
            <w:vAlign w:val="center"/>
            <w:hideMark/>
          </w:tcPr>
          <w:p w14:paraId="1A912F10" w14:textId="77777777" w:rsidR="00ED5551" w:rsidRPr="00ED5551" w:rsidRDefault="00ED5551" w:rsidP="00ED5551">
            <w:pPr>
              <w:jc w:val="center"/>
              <w:rPr>
                <w:rFonts w:ascii="&amp;quot" w:eastAsia="Times New Roman" w:hAnsi="&amp;quot" w:cs="Times New Roman"/>
                <w:b/>
                <w:bCs/>
                <w:color w:val="000000"/>
                <w:szCs w:val="28"/>
                <w:lang w:eastAsia="it-IT"/>
              </w:rPr>
            </w:pPr>
            <w:r w:rsidRPr="00ED5551">
              <w:rPr>
                <w:rFonts w:ascii="&amp;quot" w:eastAsia="Times New Roman" w:hAnsi="&amp;quot" w:cs="Times New Roman"/>
                <w:b/>
                <w:bCs/>
                <w:color w:val="000000"/>
                <w:szCs w:val="28"/>
                <w:lang w:eastAsia="it-IT"/>
              </w:rPr>
              <w:t>Federico Di Matteo</w:t>
            </w:r>
          </w:p>
        </w:tc>
        <w:tc>
          <w:tcPr>
            <w:tcW w:w="0" w:type="auto"/>
            <w:vAlign w:val="center"/>
            <w:hideMark/>
          </w:tcPr>
          <w:p w14:paraId="4EC72817" w14:textId="77777777" w:rsidR="00ED5551" w:rsidRPr="00ED5551" w:rsidRDefault="00ED5551" w:rsidP="00ED5551">
            <w:pPr>
              <w:jc w:val="center"/>
              <w:rPr>
                <w:rFonts w:ascii="&amp;quot" w:eastAsia="Times New Roman" w:hAnsi="&amp;quot" w:cs="Times New Roman"/>
                <w:b/>
                <w:bCs/>
                <w:color w:val="000000"/>
                <w:szCs w:val="28"/>
                <w:lang w:eastAsia="it-IT"/>
              </w:rPr>
            </w:pPr>
          </w:p>
        </w:tc>
        <w:tc>
          <w:tcPr>
            <w:tcW w:w="0" w:type="auto"/>
            <w:vAlign w:val="center"/>
            <w:hideMark/>
          </w:tcPr>
          <w:p w14:paraId="4959EBCC" w14:textId="77777777" w:rsidR="00ED5551" w:rsidRPr="00ED5551" w:rsidRDefault="00ED5551" w:rsidP="00ED5551">
            <w:pPr>
              <w:jc w:val="center"/>
              <w:rPr>
                <w:rFonts w:ascii="&amp;quot" w:eastAsia="Times New Roman" w:hAnsi="&amp;quot" w:cs="Times New Roman"/>
                <w:b/>
                <w:bCs/>
                <w:color w:val="000000"/>
                <w:szCs w:val="28"/>
                <w:lang w:eastAsia="it-IT"/>
              </w:rPr>
            </w:pPr>
            <w:r w:rsidRPr="00ED5551">
              <w:rPr>
                <w:rFonts w:ascii="&amp;quot" w:eastAsia="Times New Roman" w:hAnsi="&amp;quot" w:cs="Times New Roman"/>
                <w:b/>
                <w:bCs/>
                <w:color w:val="000000"/>
                <w:szCs w:val="28"/>
                <w:lang w:eastAsia="it-IT"/>
              </w:rPr>
              <w:t>Carlo Saltelli</w:t>
            </w:r>
          </w:p>
        </w:tc>
      </w:tr>
      <w:tr w:rsidR="00ED5551" w:rsidRPr="00ED5551" w14:paraId="3F2A72D3" w14:textId="77777777" w:rsidTr="00ED5551">
        <w:tc>
          <w:tcPr>
            <w:tcW w:w="0" w:type="auto"/>
            <w:vAlign w:val="center"/>
            <w:hideMark/>
          </w:tcPr>
          <w:p w14:paraId="3AF75DB1" w14:textId="77777777" w:rsidR="00ED5551" w:rsidRPr="00ED5551" w:rsidRDefault="00ED5551" w:rsidP="00ED5551">
            <w:pPr>
              <w:jc w:val="center"/>
              <w:rPr>
                <w:rFonts w:ascii="&amp;quot" w:eastAsia="Times New Roman" w:hAnsi="&amp;quot" w:cs="Times New Roman"/>
                <w:b/>
                <w:bCs/>
                <w:color w:val="000000"/>
                <w:szCs w:val="28"/>
                <w:lang w:eastAsia="it-IT"/>
              </w:rPr>
            </w:pPr>
            <w:r w:rsidRPr="00ED5551">
              <w:rPr>
                <w:rFonts w:ascii="&amp;quot" w:eastAsia="Times New Roman" w:hAnsi="&amp;quot" w:cs="Times New Roman"/>
                <w:b/>
                <w:bCs/>
                <w:color w:val="000000"/>
                <w:szCs w:val="28"/>
                <w:lang w:eastAsia="it-IT"/>
              </w:rPr>
              <w:t> </w:t>
            </w:r>
          </w:p>
        </w:tc>
        <w:tc>
          <w:tcPr>
            <w:tcW w:w="0" w:type="auto"/>
            <w:vAlign w:val="center"/>
            <w:hideMark/>
          </w:tcPr>
          <w:p w14:paraId="3ED22073" w14:textId="77777777" w:rsidR="00ED5551" w:rsidRPr="00ED5551" w:rsidRDefault="00ED5551" w:rsidP="00ED5551">
            <w:pPr>
              <w:jc w:val="center"/>
              <w:rPr>
                <w:rFonts w:ascii="&amp;quot" w:eastAsia="Times New Roman" w:hAnsi="&amp;quot" w:cs="Times New Roman"/>
                <w:b/>
                <w:bCs/>
                <w:color w:val="000000"/>
                <w:szCs w:val="28"/>
                <w:lang w:eastAsia="it-IT"/>
              </w:rPr>
            </w:pPr>
          </w:p>
        </w:tc>
        <w:tc>
          <w:tcPr>
            <w:tcW w:w="0" w:type="auto"/>
            <w:vAlign w:val="center"/>
            <w:hideMark/>
          </w:tcPr>
          <w:p w14:paraId="1E33AAC1" w14:textId="77777777" w:rsidR="00ED5551" w:rsidRPr="00ED5551" w:rsidRDefault="00ED5551" w:rsidP="00ED5551">
            <w:pPr>
              <w:jc w:val="center"/>
              <w:rPr>
                <w:rFonts w:ascii="Times New Roman" w:eastAsia="Times New Roman" w:hAnsi="Times New Roman" w:cs="Times New Roman"/>
                <w:sz w:val="20"/>
                <w:szCs w:val="20"/>
                <w:lang w:eastAsia="it-IT"/>
              </w:rPr>
            </w:pPr>
          </w:p>
        </w:tc>
      </w:tr>
      <w:tr w:rsidR="00ED5551" w:rsidRPr="00ED5551" w14:paraId="5A133AD8" w14:textId="77777777" w:rsidTr="00ED5551">
        <w:tc>
          <w:tcPr>
            <w:tcW w:w="0" w:type="auto"/>
            <w:vAlign w:val="center"/>
            <w:hideMark/>
          </w:tcPr>
          <w:p w14:paraId="5A83D1C8" w14:textId="77777777" w:rsidR="00ED5551" w:rsidRPr="00ED5551" w:rsidRDefault="00ED5551" w:rsidP="00ED5551">
            <w:pPr>
              <w:jc w:val="center"/>
              <w:rPr>
                <w:rFonts w:ascii="&amp;quot" w:eastAsia="Times New Roman" w:hAnsi="&amp;quot" w:cs="Times New Roman"/>
                <w:b/>
                <w:bCs/>
                <w:color w:val="000000"/>
                <w:szCs w:val="28"/>
                <w:lang w:eastAsia="it-IT"/>
              </w:rPr>
            </w:pPr>
            <w:r w:rsidRPr="00ED5551">
              <w:rPr>
                <w:rFonts w:ascii="&amp;quot" w:eastAsia="Times New Roman" w:hAnsi="&amp;quot" w:cs="Times New Roman"/>
                <w:b/>
                <w:bCs/>
                <w:color w:val="000000"/>
                <w:szCs w:val="28"/>
                <w:lang w:eastAsia="it-IT"/>
              </w:rPr>
              <w:t> </w:t>
            </w:r>
          </w:p>
        </w:tc>
        <w:tc>
          <w:tcPr>
            <w:tcW w:w="0" w:type="auto"/>
            <w:vAlign w:val="center"/>
            <w:hideMark/>
          </w:tcPr>
          <w:p w14:paraId="0E13CA4A" w14:textId="77777777" w:rsidR="00ED5551" w:rsidRPr="00ED5551" w:rsidRDefault="00ED5551" w:rsidP="00ED5551">
            <w:pPr>
              <w:jc w:val="center"/>
              <w:rPr>
                <w:rFonts w:ascii="&amp;quot" w:eastAsia="Times New Roman" w:hAnsi="&amp;quot" w:cs="Times New Roman"/>
                <w:b/>
                <w:bCs/>
                <w:color w:val="000000"/>
                <w:szCs w:val="28"/>
                <w:lang w:eastAsia="it-IT"/>
              </w:rPr>
            </w:pPr>
          </w:p>
        </w:tc>
        <w:tc>
          <w:tcPr>
            <w:tcW w:w="0" w:type="auto"/>
            <w:vAlign w:val="center"/>
            <w:hideMark/>
          </w:tcPr>
          <w:p w14:paraId="28442A30" w14:textId="77777777" w:rsidR="00ED5551" w:rsidRPr="00ED5551" w:rsidRDefault="00ED5551" w:rsidP="00ED5551">
            <w:pPr>
              <w:jc w:val="center"/>
              <w:rPr>
                <w:rFonts w:ascii="Times New Roman" w:eastAsia="Times New Roman" w:hAnsi="Times New Roman" w:cs="Times New Roman"/>
                <w:sz w:val="20"/>
                <w:szCs w:val="20"/>
                <w:lang w:eastAsia="it-IT"/>
              </w:rPr>
            </w:pPr>
          </w:p>
        </w:tc>
      </w:tr>
      <w:tr w:rsidR="00ED5551" w:rsidRPr="00ED5551" w14:paraId="03FF01E5" w14:textId="77777777" w:rsidTr="00ED5551">
        <w:tc>
          <w:tcPr>
            <w:tcW w:w="0" w:type="auto"/>
            <w:vAlign w:val="center"/>
            <w:hideMark/>
          </w:tcPr>
          <w:p w14:paraId="2EC54E48" w14:textId="77777777" w:rsidR="00ED5551" w:rsidRPr="00ED5551" w:rsidRDefault="00ED5551" w:rsidP="00ED5551">
            <w:pPr>
              <w:jc w:val="center"/>
              <w:rPr>
                <w:rFonts w:ascii="&amp;quot" w:eastAsia="Times New Roman" w:hAnsi="&amp;quot" w:cs="Times New Roman"/>
                <w:b/>
                <w:bCs/>
                <w:color w:val="000000"/>
                <w:szCs w:val="28"/>
                <w:lang w:eastAsia="it-IT"/>
              </w:rPr>
            </w:pPr>
            <w:r w:rsidRPr="00ED5551">
              <w:rPr>
                <w:rFonts w:ascii="&amp;quot" w:eastAsia="Times New Roman" w:hAnsi="&amp;quot" w:cs="Times New Roman"/>
                <w:b/>
                <w:bCs/>
                <w:color w:val="000000"/>
                <w:szCs w:val="28"/>
                <w:lang w:eastAsia="it-IT"/>
              </w:rPr>
              <w:t> </w:t>
            </w:r>
          </w:p>
        </w:tc>
        <w:tc>
          <w:tcPr>
            <w:tcW w:w="0" w:type="auto"/>
            <w:vAlign w:val="center"/>
            <w:hideMark/>
          </w:tcPr>
          <w:p w14:paraId="6258E384" w14:textId="77777777" w:rsidR="00ED5551" w:rsidRPr="00ED5551" w:rsidRDefault="00ED5551" w:rsidP="00ED5551">
            <w:pPr>
              <w:jc w:val="center"/>
              <w:rPr>
                <w:rFonts w:ascii="&amp;quot" w:eastAsia="Times New Roman" w:hAnsi="&amp;quot" w:cs="Times New Roman"/>
                <w:b/>
                <w:bCs/>
                <w:color w:val="000000"/>
                <w:szCs w:val="28"/>
                <w:lang w:eastAsia="it-IT"/>
              </w:rPr>
            </w:pPr>
          </w:p>
        </w:tc>
        <w:tc>
          <w:tcPr>
            <w:tcW w:w="0" w:type="auto"/>
            <w:vAlign w:val="center"/>
            <w:hideMark/>
          </w:tcPr>
          <w:p w14:paraId="071D241C" w14:textId="77777777" w:rsidR="00ED5551" w:rsidRPr="00ED5551" w:rsidRDefault="00ED5551" w:rsidP="00ED5551">
            <w:pPr>
              <w:jc w:val="center"/>
              <w:rPr>
                <w:rFonts w:ascii="Times New Roman" w:eastAsia="Times New Roman" w:hAnsi="Times New Roman" w:cs="Times New Roman"/>
                <w:sz w:val="20"/>
                <w:szCs w:val="20"/>
                <w:lang w:eastAsia="it-IT"/>
              </w:rPr>
            </w:pPr>
          </w:p>
        </w:tc>
      </w:tr>
      <w:tr w:rsidR="00ED5551" w:rsidRPr="00ED5551" w14:paraId="6ACC73CF" w14:textId="77777777" w:rsidTr="00ED5551">
        <w:tc>
          <w:tcPr>
            <w:tcW w:w="0" w:type="auto"/>
            <w:vAlign w:val="center"/>
            <w:hideMark/>
          </w:tcPr>
          <w:p w14:paraId="68F858C0" w14:textId="77777777" w:rsidR="00ED5551" w:rsidRPr="00ED5551" w:rsidRDefault="00ED5551" w:rsidP="00ED5551">
            <w:pPr>
              <w:jc w:val="center"/>
              <w:rPr>
                <w:rFonts w:ascii="&amp;quot" w:eastAsia="Times New Roman" w:hAnsi="&amp;quot" w:cs="Times New Roman"/>
                <w:b/>
                <w:bCs/>
                <w:color w:val="000000"/>
                <w:szCs w:val="28"/>
                <w:lang w:eastAsia="it-IT"/>
              </w:rPr>
            </w:pPr>
            <w:r w:rsidRPr="00ED5551">
              <w:rPr>
                <w:rFonts w:ascii="&amp;quot" w:eastAsia="Times New Roman" w:hAnsi="&amp;quot" w:cs="Times New Roman"/>
                <w:b/>
                <w:bCs/>
                <w:color w:val="000000"/>
                <w:szCs w:val="28"/>
                <w:lang w:eastAsia="it-IT"/>
              </w:rPr>
              <w:t> </w:t>
            </w:r>
          </w:p>
        </w:tc>
        <w:tc>
          <w:tcPr>
            <w:tcW w:w="0" w:type="auto"/>
            <w:vAlign w:val="center"/>
            <w:hideMark/>
          </w:tcPr>
          <w:p w14:paraId="1A719E2F" w14:textId="77777777" w:rsidR="00ED5551" w:rsidRPr="00ED5551" w:rsidRDefault="00ED5551" w:rsidP="00ED5551">
            <w:pPr>
              <w:jc w:val="center"/>
              <w:rPr>
                <w:rFonts w:ascii="&amp;quot" w:eastAsia="Times New Roman" w:hAnsi="&amp;quot" w:cs="Times New Roman"/>
                <w:b/>
                <w:bCs/>
                <w:color w:val="000000"/>
                <w:szCs w:val="28"/>
                <w:lang w:eastAsia="it-IT"/>
              </w:rPr>
            </w:pPr>
          </w:p>
        </w:tc>
        <w:tc>
          <w:tcPr>
            <w:tcW w:w="0" w:type="auto"/>
            <w:vAlign w:val="center"/>
            <w:hideMark/>
          </w:tcPr>
          <w:p w14:paraId="13CE4226" w14:textId="77777777" w:rsidR="00ED5551" w:rsidRPr="00ED5551" w:rsidRDefault="00ED5551" w:rsidP="00ED5551">
            <w:pPr>
              <w:jc w:val="center"/>
              <w:rPr>
                <w:rFonts w:ascii="Times New Roman" w:eastAsia="Times New Roman" w:hAnsi="Times New Roman" w:cs="Times New Roman"/>
                <w:sz w:val="20"/>
                <w:szCs w:val="20"/>
                <w:lang w:eastAsia="it-IT"/>
              </w:rPr>
            </w:pPr>
          </w:p>
        </w:tc>
      </w:tr>
      <w:tr w:rsidR="00ED5551" w:rsidRPr="00ED5551" w14:paraId="70AA9395" w14:textId="77777777" w:rsidTr="00ED5551">
        <w:tc>
          <w:tcPr>
            <w:tcW w:w="0" w:type="auto"/>
            <w:vAlign w:val="center"/>
            <w:hideMark/>
          </w:tcPr>
          <w:p w14:paraId="4083BB65" w14:textId="77777777" w:rsidR="00ED5551" w:rsidRPr="00ED5551" w:rsidRDefault="00ED5551" w:rsidP="00ED5551">
            <w:pPr>
              <w:jc w:val="center"/>
              <w:rPr>
                <w:rFonts w:ascii="&amp;quot" w:eastAsia="Times New Roman" w:hAnsi="&amp;quot" w:cs="Times New Roman"/>
                <w:b/>
                <w:bCs/>
                <w:color w:val="000000"/>
                <w:szCs w:val="28"/>
                <w:lang w:eastAsia="it-IT"/>
              </w:rPr>
            </w:pPr>
            <w:r w:rsidRPr="00ED5551">
              <w:rPr>
                <w:rFonts w:ascii="&amp;quot" w:eastAsia="Times New Roman" w:hAnsi="&amp;quot" w:cs="Times New Roman"/>
                <w:b/>
                <w:bCs/>
                <w:color w:val="000000"/>
                <w:szCs w:val="28"/>
                <w:lang w:eastAsia="it-IT"/>
              </w:rPr>
              <w:t> </w:t>
            </w:r>
          </w:p>
        </w:tc>
        <w:tc>
          <w:tcPr>
            <w:tcW w:w="0" w:type="auto"/>
            <w:vAlign w:val="center"/>
            <w:hideMark/>
          </w:tcPr>
          <w:p w14:paraId="18B8DA73" w14:textId="77777777" w:rsidR="00ED5551" w:rsidRPr="00ED5551" w:rsidRDefault="00ED5551" w:rsidP="00ED5551">
            <w:pPr>
              <w:jc w:val="center"/>
              <w:rPr>
                <w:rFonts w:ascii="&amp;quot" w:eastAsia="Times New Roman" w:hAnsi="&amp;quot" w:cs="Times New Roman"/>
                <w:b/>
                <w:bCs/>
                <w:color w:val="000000"/>
                <w:szCs w:val="28"/>
                <w:lang w:eastAsia="it-IT"/>
              </w:rPr>
            </w:pPr>
          </w:p>
        </w:tc>
        <w:tc>
          <w:tcPr>
            <w:tcW w:w="0" w:type="auto"/>
            <w:vAlign w:val="center"/>
            <w:hideMark/>
          </w:tcPr>
          <w:p w14:paraId="06A12F91" w14:textId="77777777" w:rsidR="00ED5551" w:rsidRPr="00ED5551" w:rsidRDefault="00ED5551" w:rsidP="00ED5551">
            <w:pPr>
              <w:jc w:val="center"/>
              <w:rPr>
                <w:rFonts w:ascii="Times New Roman" w:eastAsia="Times New Roman" w:hAnsi="Times New Roman" w:cs="Times New Roman"/>
                <w:sz w:val="20"/>
                <w:szCs w:val="20"/>
                <w:lang w:eastAsia="it-IT"/>
              </w:rPr>
            </w:pPr>
          </w:p>
        </w:tc>
      </w:tr>
    </w:tbl>
    <w:p w14:paraId="5AECA706" w14:textId="77777777" w:rsidR="00ED5551" w:rsidRPr="00ED5551" w:rsidRDefault="00ED5551" w:rsidP="00ED5551">
      <w:pPr>
        <w:spacing w:line="540" w:lineRule="atLeast"/>
        <w:jc w:val="center"/>
        <w:rPr>
          <w:rFonts w:ascii="&amp;quot" w:eastAsia="Times New Roman" w:hAnsi="&amp;quot" w:cs="Times New Roman"/>
          <w:color w:val="000000"/>
          <w:sz w:val="30"/>
          <w:szCs w:val="30"/>
          <w:lang w:eastAsia="it-IT"/>
        </w:rPr>
      </w:pPr>
      <w:r w:rsidRPr="00ED5551">
        <w:rPr>
          <w:rFonts w:ascii="&amp;quot" w:eastAsia="Times New Roman" w:hAnsi="&amp;quot" w:cs="Times New Roman"/>
          <w:color w:val="000000"/>
          <w:sz w:val="30"/>
          <w:szCs w:val="30"/>
          <w:lang w:eastAsia="it-IT"/>
        </w:rPr>
        <w:t>IL SEGRETARIO</w:t>
      </w:r>
    </w:p>
    <w:p w14:paraId="6408C026" w14:textId="43D08099" w:rsidR="000271E1" w:rsidRDefault="00ED5551" w:rsidP="00ED5551">
      <w:r w:rsidRPr="00ED5551">
        <w:rPr>
          <w:rFonts w:ascii="Times New Roman" w:eastAsia="Times New Roman" w:hAnsi="Times New Roman" w:cs="Times New Roman"/>
          <w:color w:val="000000"/>
          <w:sz w:val="24"/>
          <w:szCs w:val="24"/>
          <w:lang w:eastAsia="it-IT"/>
        </w:rPr>
        <w:br/>
      </w:r>
      <w:bookmarkStart w:id="0" w:name="_GoBack"/>
      <w:bookmarkEnd w:id="0"/>
    </w:p>
    <w:sectPr w:rsidR="000271E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5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551"/>
    <w:rsid w:val="000271E1"/>
    <w:rsid w:val="00ED555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D6624"/>
  <w15:chartTrackingRefBased/>
  <w15:docId w15:val="{23D7D77B-9B19-44EF-88BF-95B060A5F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Bidi"/>
        <w:sz w:val="28"/>
        <w:szCs w:val="22"/>
        <w:lang w:val="it-IT"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6870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3719</Words>
  <Characters>21203</Characters>
  <Application>Microsoft Office Word</Application>
  <DocSecurity>0</DocSecurity>
  <Lines>176</Lines>
  <Paragraphs>49</Paragraphs>
  <ScaleCrop>false</ScaleCrop>
  <Company/>
  <LinksUpToDate>false</LinksUpToDate>
  <CharactersWithSpaces>24873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Barbiero</dc:creator>
  <cp:keywords/>
  <dc:description/>
  <cp:lastModifiedBy>Alberto Barbiero</cp:lastModifiedBy>
  <cp:revision>1</cp:revision>
  <dcterms:created xsi:type="dcterms:W3CDTF">2020-02-16T21:23:00Z</dcterms:created>
  <dcterms:modified xsi:type="dcterms:W3CDTF">2020-02-16T21:24:00Z</dcterms:modified>
</cp:coreProperties>
</file>