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D4" w:rsidRPr="004D4F1E" w:rsidRDefault="0063280E">
      <w:pPr>
        <w:jc w:val="center"/>
        <w:rPr>
          <w:rFonts w:ascii="Times New Roman" w:hAnsi="Times New Roman" w:cs="Times New Roman"/>
          <w:lang w:val="it-IT"/>
        </w:rPr>
      </w:pPr>
      <w:r w:rsidRPr="004D4F1E">
        <w:rPr>
          <w:rFonts w:ascii="Times New Roman" w:hAnsi="Times New Roman" w:cs="Times New Roman"/>
          <w:lang w:val="it-IT"/>
        </w:rPr>
        <w:t>U.L.S.S.</w:t>
      </w:r>
      <w:r w:rsidR="00B339D4" w:rsidRPr="004D4F1E">
        <w:rPr>
          <w:rFonts w:ascii="Times New Roman" w:hAnsi="Times New Roman" w:cs="Times New Roman"/>
          <w:lang w:val="it-IT"/>
        </w:rPr>
        <w:t xml:space="preserve"> di </w:t>
      </w:r>
      <w:r w:rsidR="00B339D4"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</w:t>
      </w:r>
      <w:r w:rsidR="007B750C" w:rsidRPr="004D4F1E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="007B750C" w:rsidRPr="004D4F1E">
        <w:rPr>
          <w:rFonts w:ascii="Times New Roman" w:hAnsi="Times New Roman" w:cs="Times New Roman"/>
          <w:lang w:val="it-IT"/>
        </w:rPr>
        <w:t xml:space="preserve"> Regione VENETO</w:t>
      </w:r>
    </w:p>
    <w:p w:rsidR="00B339D4" w:rsidRPr="004D4F1E" w:rsidRDefault="00B339D4">
      <w:pPr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4D4F1E">
        <w:rPr>
          <w:rFonts w:ascii="Times New Roman" w:hAnsi="Times New Roman" w:cs="Times New Roman"/>
          <w:sz w:val="16"/>
          <w:szCs w:val="16"/>
          <w:lang w:val="it-IT"/>
        </w:rPr>
        <w:t>(intestazione)</w:t>
      </w: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ind w:left="113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2"/>
          <w:szCs w:val="22"/>
          <w:lang w:val="it-IT"/>
        </w:rPr>
        <w:t>Prot. n.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</w:t>
      </w: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4D4F1E">
        <w:rPr>
          <w:rFonts w:ascii="Times New Roman" w:hAnsi="Times New Roman" w:cs="Times New Roman"/>
          <w:i/>
          <w:iCs/>
          <w:sz w:val="22"/>
          <w:szCs w:val="22"/>
          <w:lang w:val="it-IT"/>
        </w:rPr>
        <w:t>All’Ufficiale dello Stato Civile del Comune di</w:t>
      </w:r>
    </w:p>
    <w:p w:rsidR="00B339D4" w:rsidRPr="004D4F1E" w:rsidRDefault="00B339D4">
      <w:pPr>
        <w:spacing w:line="425" w:lineRule="exact"/>
        <w:jc w:val="right"/>
        <w:rPr>
          <w:rFonts w:ascii="Times New Roman" w:hAnsi="Times New Roman" w:cs="Times New Roman"/>
          <w:i/>
          <w:iCs/>
          <w:lang w:val="it-IT"/>
        </w:rPr>
      </w:pP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</w:t>
      </w: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D4F1E">
        <w:rPr>
          <w:rFonts w:ascii="Times New Roman" w:hAnsi="Times New Roman" w:cs="Times New Roman"/>
          <w:b/>
          <w:bCs/>
          <w:sz w:val="28"/>
          <w:szCs w:val="28"/>
          <w:lang w:val="it-IT"/>
        </w:rPr>
        <w:t>CERTIFICATO NECROSCOPICO</w:t>
      </w:r>
    </w:p>
    <w:p w:rsidR="00B339D4" w:rsidRPr="004D4F1E" w:rsidRDefault="00B339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D4F1E">
        <w:rPr>
          <w:rFonts w:ascii="Times New Roman" w:hAnsi="Times New Roman" w:cs="Times New Roman"/>
          <w:b/>
          <w:bCs/>
          <w:sz w:val="28"/>
          <w:szCs w:val="28"/>
          <w:lang w:val="it-IT"/>
        </w:rPr>
        <w:t>(accertamento della morte)</w:t>
      </w:r>
    </w:p>
    <w:p w:rsidR="00B339D4" w:rsidRPr="004D4F1E" w:rsidRDefault="00B339D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 w:rsidP="004D4F1E">
      <w:pPr>
        <w:spacing w:line="280" w:lineRule="atLeast"/>
        <w:ind w:firstLine="397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Il/la </w:t>
      </w:r>
      <w:r w:rsidR="004D4F1E" w:rsidRPr="004D4F1E">
        <w:rPr>
          <w:rFonts w:ascii="Times New Roman" w:hAnsi="Times New Roman" w:cs="Times New Roman"/>
          <w:sz w:val="20"/>
          <w:szCs w:val="20"/>
          <w:lang w:val="it-IT"/>
        </w:rPr>
        <w:t>sottoscritto/a  medico Dott.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4D4F1E" w:rsidRPr="004D4F1E">
        <w:rPr>
          <w:rFonts w:ascii="Times New Roman" w:hAnsi="Times New Roman" w:cs="Times New Roman"/>
          <w:sz w:val="20"/>
          <w:szCs w:val="20"/>
          <w:lang w:val="it-IT"/>
        </w:rPr>
        <w:t>incaricato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a svolgere funzioni di necroscopia con atto del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.........................…………............................................................................................................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In data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N.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 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, ai sensi </w:t>
      </w:r>
      <w:hyperlink r:id="rId5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dell’art. 74 del Regolamento Stato Civile D.P.R. 396/2000</w:t>
        </w:r>
      </w:hyperlink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hyperlink r:id="rId6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dell’art. 4 del Regolamento Polizia Mortuaria D.P.R. 285/1990</w:t>
        </w:r>
      </w:hyperlink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, certifica che alle ore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del giorno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In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Via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.......................................................................................................................................................................................................................…………………...........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n.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</w:t>
      </w:r>
    </w:p>
    <w:p w:rsidR="00B339D4" w:rsidRPr="004D4F1E" w:rsidRDefault="00B339D4" w:rsidP="004D4F1E">
      <w:pPr>
        <w:pStyle w:val="Titolo1"/>
        <w:spacing w:line="280" w:lineRule="atLeast"/>
        <w:jc w:val="left"/>
        <w:rPr>
          <w:rFonts w:ascii="Times New Roman" w:hAnsi="Times New Roman" w:cs="Times New Roman"/>
          <w:lang w:val="it-IT"/>
        </w:rPr>
      </w:pPr>
      <w:r w:rsidRPr="004D4F1E">
        <w:rPr>
          <w:rFonts w:ascii="Times New Roman" w:hAnsi="Times New Roman" w:cs="Times New Roman"/>
          <w:lang w:val="it-IT"/>
        </w:rPr>
        <w:t xml:space="preserve">HA ACCERTATO LA REALTÀ DELLA MORTE </w:t>
      </w: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 xml:space="preserve"> .....................................................................................................................................................................................………………………….……….................................</w:t>
      </w:r>
      <w:r w:rsidR="001C0294"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</w:t>
      </w: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Nato a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</w:t>
      </w:r>
      <w:r w:rsidR="001C0294" w:rsidRPr="004D4F1E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 ………….................</w:t>
      </w:r>
      <w:r w:rsidR="001C0294" w:rsidRPr="004D4F1E">
        <w:rPr>
          <w:rFonts w:ascii="Times New Roman" w:hAnsi="Times New Roman" w:cs="Times New Roman"/>
          <w:sz w:val="12"/>
          <w:szCs w:val="12"/>
          <w:lang w:val="it-IT"/>
        </w:rPr>
        <w:t>.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</w:t>
      </w: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Residente a </w:t>
      </w:r>
      <w:r w:rsidR="009D1FFB"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cittadino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</w:t>
      </w:r>
    </w:p>
    <w:p w:rsidR="00B339D4" w:rsidRPr="004D4F1E" w:rsidRDefault="009D1FFB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Deceduto in data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</w:t>
      </w: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B339D4"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Identificato mediante </w:t>
      </w:r>
      <w:r w:rsidR="00B339D4"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</w:t>
      </w: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</w:p>
    <w:p w:rsidR="009D1FFB" w:rsidRPr="004D4F1E" w:rsidRDefault="009D1FFB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</w:p>
    <w:p w:rsidR="004D4F1E" w:rsidRPr="000160A3" w:rsidRDefault="004D4F1E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Il cadavere può essere chiuso in cassa: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trascorse 24 ore dal decesso (</w:t>
      </w:r>
      <w:hyperlink r:id="rId7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art. 8 D.P.R. 285/90</w:t>
        </w:r>
      </w:hyperlink>
      <w:r w:rsidRPr="000160A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trascorse 48 ore dal decesso (</w:t>
      </w:r>
      <w:hyperlink r:id="rId8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ART. 9 D.P.R. 285/90</w:t>
        </w:r>
      </w:hyperlink>
      <w:r w:rsidRPr="000160A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prima di 24 ore per il seguente motivo:</w:t>
      </w:r>
    </w:p>
    <w:p w:rsidR="004D4F1E" w:rsidRPr="000160A3" w:rsidRDefault="004D4F1E" w:rsidP="004D4F1E">
      <w:pPr>
        <w:numPr>
          <w:ilvl w:val="0"/>
          <w:numId w:val="1"/>
        </w:numPr>
        <w:tabs>
          <w:tab w:val="left" w:pos="241"/>
        </w:tabs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decapitazione, maciullamento, ECG isoelettrico per 20 minuti  (</w:t>
      </w:r>
      <w:hyperlink r:id="rId9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art. 8 D.P.R. 285/90</w:t>
        </w:r>
      </w:hyperlink>
      <w:r w:rsidRPr="000160A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4D4F1E" w:rsidRPr="000160A3" w:rsidRDefault="004D4F1E" w:rsidP="004D4F1E">
      <w:pPr>
        <w:numPr>
          <w:ilvl w:val="0"/>
          <w:numId w:val="1"/>
        </w:numPr>
        <w:tabs>
          <w:tab w:val="left" w:pos="241"/>
        </w:tabs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iniziata putrefazione o morte dovuta a malattia infettiva-diffusiva (</w:t>
      </w:r>
      <w:hyperlink r:id="rId10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art. 10 D.P.R. 285/90</w:t>
        </w:r>
      </w:hyperlink>
      <w:r w:rsidRPr="000160A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:rsidR="004D4F1E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>Si potrà procedere alla sepoltura solo previo nulla osta dell’autorità giudiziaria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Si dichiara che NON esiste sospetto che la morte sia dovuta a reato.</w:t>
      </w:r>
    </w:p>
    <w:p w:rsidR="004D4F1E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0160A3">
        <w:rPr>
          <w:rFonts w:ascii="Times New Roman" w:hAnsi="Times New Roman" w:cs="Times New Roman"/>
          <w:sz w:val="20"/>
          <w:szCs w:val="20"/>
          <w:lang w:val="it-IT"/>
        </w:rPr>
        <w:t xml:space="preserve">Si dichiara che nulla-osta al trasporto del cadavere, ai sensi </w:t>
      </w:r>
      <w:hyperlink r:id="rId11" w:history="1">
        <w:r w:rsidRPr="00C25324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dell’art. 17, comma 2, della L.R. n. 41/2012</w:t>
        </w:r>
      </w:hyperlink>
      <w:r w:rsidRPr="000160A3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Si dispone l’adozione delle seguenti misure precauzionali igieniche: </w:t>
      </w:r>
      <w:r w:rsidRPr="000160A3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</w:t>
      </w:r>
    </w:p>
    <w:p w:rsidR="004D4F1E" w:rsidRPr="000160A3" w:rsidRDefault="004D4F1E" w:rsidP="004D4F1E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12"/>
          <w:szCs w:val="12"/>
          <w:lang w:val="it-IT"/>
        </w:rPr>
      </w:pPr>
      <w:r w:rsidRPr="000160A3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………………………….………...............................................................</w:t>
      </w: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 w:rsidP="004D4F1E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 xml:space="preserve">Data </w:t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</w:t>
      </w:r>
    </w:p>
    <w:p w:rsidR="00B339D4" w:rsidRPr="004D4F1E" w:rsidRDefault="00B339D4" w:rsidP="004D4F1E">
      <w:pPr>
        <w:tabs>
          <w:tab w:val="center" w:pos="8220"/>
        </w:tabs>
        <w:spacing w:line="280" w:lineRule="atLeast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i/>
          <w:iCs/>
          <w:sz w:val="20"/>
          <w:szCs w:val="20"/>
          <w:lang w:val="it-IT"/>
        </w:rPr>
        <w:tab/>
        <w:t>IL MEDICO NECROSCOPO</w:t>
      </w:r>
    </w:p>
    <w:p w:rsidR="00B339D4" w:rsidRPr="004D4F1E" w:rsidRDefault="00B339D4" w:rsidP="004D4F1E">
      <w:pPr>
        <w:tabs>
          <w:tab w:val="center" w:pos="8220"/>
        </w:tabs>
        <w:spacing w:line="280" w:lineRule="atLeast"/>
        <w:rPr>
          <w:rFonts w:ascii="Times New Roman" w:hAnsi="Times New Roman" w:cs="Times New Roman"/>
          <w:sz w:val="12"/>
          <w:szCs w:val="12"/>
          <w:lang w:val="it-IT"/>
        </w:rPr>
      </w:pPr>
      <w:r w:rsidRPr="004D4F1E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4D4F1E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</w:t>
      </w:r>
    </w:p>
    <w:p w:rsidR="00B339D4" w:rsidRPr="004D4F1E" w:rsidRDefault="00B339D4" w:rsidP="004D4F1E">
      <w:pPr>
        <w:tabs>
          <w:tab w:val="center" w:pos="8220"/>
        </w:tabs>
        <w:spacing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B339D4" w:rsidRPr="004D4F1E" w:rsidRDefault="00B339D4">
      <w:pPr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B339D4" w:rsidRPr="004D4F1E" w:rsidRDefault="00B339D4">
      <w:pPr>
        <w:pBdr>
          <w:top w:val="single" w:sz="6" w:space="0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>La visita del Medico Necroscopo deve e</w:t>
      </w:r>
      <w:r w:rsidR="000C008C"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ssere effettuata non prima di 8 ore dal decesso e non dopo 36 </w:t>
      </w:r>
      <w:r w:rsidR="004D4F1E"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ore </w:t>
      </w:r>
      <w:r w:rsidR="000C008C"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>(art. 7, c. 2, L.R. N. 18/2010)</w:t>
      </w:r>
      <w:r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salvo i casi particolari previsti </w:t>
      </w:r>
      <w:hyperlink r:id="rId12" w:history="1">
        <w:r w:rsidRPr="00C25324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it-IT"/>
          </w:rPr>
          <w:t>dal D.P.R. 285/1990 (artt. 8</w:t>
        </w:r>
      </w:hyperlink>
      <w:r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hyperlink r:id="rId13" w:history="1">
        <w:r w:rsidRPr="00C25324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it-IT"/>
          </w:rPr>
          <w:t>9</w:t>
        </w:r>
      </w:hyperlink>
      <w:r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 </w:t>
      </w:r>
      <w:hyperlink r:id="rId14" w:history="1">
        <w:r w:rsidRPr="00C25324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it-IT"/>
          </w:rPr>
          <w:t>10</w:t>
        </w:r>
      </w:hyperlink>
      <w:r w:rsidRPr="004D4F1E">
        <w:rPr>
          <w:rFonts w:ascii="Times New Roman" w:hAnsi="Times New Roman" w:cs="Times New Roman"/>
          <w:b/>
          <w:bCs/>
          <w:sz w:val="20"/>
          <w:szCs w:val="20"/>
          <w:lang w:val="it-IT"/>
        </w:rPr>
        <w:t>)</w:t>
      </w:r>
    </w:p>
    <w:sectPr w:rsidR="00B339D4" w:rsidRPr="004D4F1E">
      <w:pgSz w:w="12240" w:h="15840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9EB"/>
    <w:multiLevelType w:val="hybridMultilevel"/>
    <w:tmpl w:val="DDD0F1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/>
  <w:rsids>
    <w:rsidRoot w:val="001C0294"/>
    <w:rsid w:val="000160A3"/>
    <w:rsid w:val="00066391"/>
    <w:rsid w:val="000C008C"/>
    <w:rsid w:val="001C0294"/>
    <w:rsid w:val="00297D14"/>
    <w:rsid w:val="002D19B3"/>
    <w:rsid w:val="00426B07"/>
    <w:rsid w:val="004D4F1E"/>
    <w:rsid w:val="005E515F"/>
    <w:rsid w:val="0063280E"/>
    <w:rsid w:val="00670F01"/>
    <w:rsid w:val="007B750C"/>
    <w:rsid w:val="009D1FFB"/>
    <w:rsid w:val="00B339D4"/>
    <w:rsid w:val="00C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New York" w:hAnsi="New York" w:cs="New York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113" w:after="57" w:line="340" w:lineRule="exact"/>
      <w:jc w:val="center"/>
      <w:outlineLvl w:val="0"/>
    </w:pPr>
    <w:rPr>
      <w:rFonts w:ascii="Helvetica" w:hAnsi="Helvetica" w:cs="Helvetica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" w:hAnsi="Calibri" w:cs="Calibri"/>
      <w:b/>
      <w:bCs/>
      <w:kern w:val="32"/>
      <w:sz w:val="32"/>
      <w:szCs w:val="3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32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della.repubblica:1990;285~art9" TargetMode="External"/><Relationship Id="rId13" Type="http://schemas.openxmlformats.org/officeDocument/2006/relationships/hyperlink" Target="http://www.normattiva.it/uri-res/N2Ls?urn:nir:stato:decreto.presidente.della.repubblica:1990;285~art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della.repubblica:1990;285~art8" TargetMode="External"/><Relationship Id="rId12" Type="http://schemas.openxmlformats.org/officeDocument/2006/relationships/hyperlink" Target="http://www.normattiva.it/uri-res/N2Ls?urn:nir:stato:decreto.presidente.della.repubblica:1990;285~art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presidente.della.repubblica:1990;285~art4" TargetMode="External"/><Relationship Id="rId11" Type="http://schemas.openxmlformats.org/officeDocument/2006/relationships/hyperlink" Target="http://www.normattiva.it/uri-res/N2Ls?urn:nir:stato:decreto.presidente.della.repubblica:2012;41~art17" TargetMode="External"/><Relationship Id="rId5" Type="http://schemas.openxmlformats.org/officeDocument/2006/relationships/hyperlink" Target="http://www.normattiva.it/uri-res/N2Ls?urn:nir:stato:decreto.presidente.della.repubblica:2000;396~art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.presidente.della.repubblica:1990;285~art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presidente.della.repubblica:1990;285~art8" TargetMode="External"/><Relationship Id="rId14" Type="http://schemas.openxmlformats.org/officeDocument/2006/relationships/hyperlink" Target="http://www.normattiva.it/uri-res/N2Ls?urn:nir:stato:decreto.presidente.della.repubblica:1990;285~art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4726</Characters>
  <Application>Microsoft Office Word</Application>
  <DocSecurity>0</DocSecurity>
  <Lines>39</Lines>
  <Paragraphs>11</Paragraphs>
  <ScaleCrop>false</ScaleCrop>
  <Company>MBS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*</dc:creator>
  <cp:lastModifiedBy>Loris Pecchia</cp:lastModifiedBy>
  <cp:revision>2</cp:revision>
  <dcterms:created xsi:type="dcterms:W3CDTF">2017-11-09T15:24:00Z</dcterms:created>
  <dcterms:modified xsi:type="dcterms:W3CDTF">2017-11-09T15:24:00Z</dcterms:modified>
</cp:coreProperties>
</file>