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80579" w14:textId="77777777" w:rsidR="00D4155E" w:rsidRDefault="005000B4">
      <w:pPr>
        <w:pStyle w:val="Corpotesto"/>
        <w:spacing w:before="59"/>
      </w:pPr>
      <w:r>
        <w:t>Delibera Consiglio Comunale</w:t>
      </w:r>
    </w:p>
    <w:p w14:paraId="36A6D5DD" w14:textId="188212DC" w:rsidR="00D4155E" w:rsidRDefault="00BE646D">
      <w:pPr>
        <w:pStyle w:val="Corpotesto"/>
        <w:spacing w:before="3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2CF34A1" wp14:editId="3C76114A">
                <wp:simplePos x="0" y="0"/>
                <wp:positionH relativeFrom="page">
                  <wp:posOffset>647700</wp:posOffset>
                </wp:positionH>
                <wp:positionV relativeFrom="paragraph">
                  <wp:posOffset>161290</wp:posOffset>
                </wp:positionV>
                <wp:extent cx="6264910" cy="43815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38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22C022" w14:textId="77777777" w:rsidR="00D4155E" w:rsidRDefault="005000B4">
                            <w:pPr>
                              <w:pStyle w:val="Corpotesto"/>
                              <w:spacing w:before="17"/>
                              <w:ind w:left="1226" w:right="181" w:hanging="1119"/>
                            </w:pPr>
                            <w:r>
                              <w:rPr>
                                <w:b/>
                              </w:rPr>
                              <w:t>Oggetto</w:t>
                            </w:r>
                            <w:r>
                              <w:t>: Definizione indirizzi per la nomina di rappresentanti del comune in seno ad Enti, Aziende ed Istituzioni.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F34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2.7pt;width:493.3pt;height:34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" filled="f" strokeweight=".48pt">
                <v:textbox inset="0,0,0,0">
                  <w:txbxContent>
                    <w:p w14:paraId="3222C022" w14:textId="77777777" w:rsidR="00D4155E" w:rsidRDefault="005000B4">
                      <w:pPr>
                        <w:pStyle w:val="Corpotesto"/>
                        <w:spacing w:before="17"/>
                        <w:ind w:left="1226" w:right="181" w:hanging="1119"/>
                      </w:pPr>
                      <w:r>
                        <w:rPr>
                          <w:b/>
                        </w:rPr>
                        <w:t>Oggetto</w:t>
                      </w:r>
                      <w:r>
                        <w:t>: Definizione indirizzi per la nomina di rappresentanti del comune in seno ad Enti, Aziende ed Istituzioni.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675022" w14:textId="77777777" w:rsidR="00D4155E" w:rsidRDefault="005000B4">
      <w:pPr>
        <w:pStyle w:val="Titolo1"/>
        <w:spacing w:before="33"/>
      </w:pPr>
      <w:r>
        <w:t>IL CONSIGLIO COMUNALE</w:t>
      </w:r>
    </w:p>
    <w:p w14:paraId="4B7A01D1" w14:textId="77777777" w:rsidR="00D4155E" w:rsidRDefault="005000B4">
      <w:pPr>
        <w:pStyle w:val="Corpotesto"/>
        <w:spacing w:before="161"/>
      </w:pPr>
      <w:r>
        <w:t>Visti:</w:t>
      </w:r>
    </w:p>
    <w:p w14:paraId="22A4841F" w14:textId="645E17B7" w:rsidR="00D4155E" w:rsidRDefault="005000B4">
      <w:pPr>
        <w:ind w:left="212" w:right="390"/>
        <w:jc w:val="both"/>
        <w:rPr>
          <w:sz w:val="28"/>
        </w:rPr>
      </w:pPr>
      <w:r>
        <w:rPr>
          <w:sz w:val="28"/>
        </w:rPr>
        <w:t>-</w:t>
      </w:r>
      <w:hyperlink r:id="rId7" w:history="1">
        <w:r w:rsidRPr="00BE646D">
          <w:rPr>
            <w:rStyle w:val="Collegamentoipertestuale"/>
            <w:sz w:val="28"/>
          </w:rPr>
          <w:t>l’art. 42, comma 2, lett. m), D.Lgs. 18 agosto 2000, n. 267</w:t>
        </w:r>
      </w:hyperlink>
      <w:r>
        <w:rPr>
          <w:sz w:val="28"/>
        </w:rPr>
        <w:t xml:space="preserve"> che individua tra le competenze del Consiglio comunale la “</w:t>
      </w:r>
      <w:r>
        <w:rPr>
          <w:i/>
          <w:sz w:val="28"/>
        </w:rPr>
        <w:t>definizione degli indirizzi per la nomina e la designazione di rappresentanti del comune presso enti, aziende ed istituzioni, nonché nom</w:t>
      </w:r>
      <w:r>
        <w:rPr>
          <w:i/>
          <w:sz w:val="28"/>
        </w:rPr>
        <w:t>ina dei rappresentanti del consiglio presso enti, aziende ed istituzioni ad esso espressamente riservata dalla legge”</w:t>
      </w:r>
      <w:r>
        <w:rPr>
          <w:sz w:val="28"/>
        </w:rPr>
        <w:t>;</w:t>
      </w:r>
    </w:p>
    <w:p w14:paraId="1C6D60E5" w14:textId="72DE0EB3" w:rsidR="00D4155E" w:rsidRDefault="005000B4">
      <w:pPr>
        <w:pStyle w:val="Corpotesto"/>
        <w:spacing w:before="120"/>
        <w:jc w:val="both"/>
      </w:pPr>
      <w:r>
        <w:t>-</w:t>
      </w:r>
      <w:hyperlink r:id="rId8" w:history="1">
        <w:r w:rsidRPr="00BE646D">
          <w:rPr>
            <w:rStyle w:val="Collegamentoipertestuale"/>
          </w:rPr>
          <w:t>l’art. 50, commi 8 e 9</w:t>
        </w:r>
      </w:hyperlink>
      <w:r>
        <w:t>, che testualmente recitano:</w:t>
      </w:r>
    </w:p>
    <w:p w14:paraId="2B2AFD8C" w14:textId="77777777" w:rsidR="00D4155E" w:rsidRDefault="005000B4">
      <w:pPr>
        <w:spacing w:before="120"/>
        <w:ind w:left="212" w:right="113"/>
        <w:jc w:val="both"/>
        <w:rPr>
          <w:i/>
          <w:sz w:val="28"/>
        </w:rPr>
      </w:pPr>
      <w:r>
        <w:rPr>
          <w:i/>
          <w:sz w:val="28"/>
        </w:rPr>
        <w:t>«8. Sulla base degli indirizzi stabiliti dal consiglio il sindaco e il presidente del</w:t>
      </w:r>
      <w:r>
        <w:rPr>
          <w:i/>
          <w:sz w:val="28"/>
        </w:rPr>
        <w:t>la provincia provvedono alla nomina, alla designazione e alla revoca dei rappresentanti del comune e della provincia presso enti, aziende ed istituzioni.</w:t>
      </w:r>
    </w:p>
    <w:p w14:paraId="2B4D9ADC" w14:textId="2E3A9969" w:rsidR="00D4155E" w:rsidRDefault="005000B4">
      <w:pPr>
        <w:spacing w:before="1"/>
        <w:ind w:left="212" w:right="108"/>
        <w:jc w:val="both"/>
        <w:rPr>
          <w:i/>
          <w:sz w:val="28"/>
        </w:rPr>
      </w:pPr>
      <w:r>
        <w:rPr>
          <w:i/>
          <w:sz w:val="28"/>
        </w:rPr>
        <w:t>9. Tutte le nomine e le designazioni debbono essere effettuate entro quarantacinque giorni dall’insedi</w:t>
      </w:r>
      <w:r>
        <w:rPr>
          <w:i/>
          <w:sz w:val="28"/>
        </w:rPr>
        <w:t xml:space="preserve">amento ovvero entro i termini di scadenza del precedente incarico. In mancanza, il comitato regionale di controllo adotta i provvedimenti sostitutivi ai sensi </w:t>
      </w:r>
      <w:hyperlink r:id="rId9" w:history="1">
        <w:r w:rsidRPr="00BE646D">
          <w:rPr>
            <w:rStyle w:val="Collegamentoipertestuale"/>
            <w:i/>
            <w:sz w:val="28"/>
          </w:rPr>
          <w:t>dell’articolo 136</w:t>
        </w:r>
      </w:hyperlink>
      <w:r>
        <w:rPr>
          <w:i/>
          <w:sz w:val="28"/>
        </w:rPr>
        <w:t>»;</w:t>
      </w:r>
    </w:p>
    <w:p w14:paraId="5B3AA9D6" w14:textId="77777777" w:rsidR="00D4155E" w:rsidRDefault="005000B4">
      <w:pPr>
        <w:pStyle w:val="Corpotesto"/>
        <w:tabs>
          <w:tab w:val="left" w:pos="2908"/>
        </w:tabs>
        <w:ind w:right="119"/>
      </w:pPr>
      <w:r>
        <w:t>Visto,</w:t>
      </w:r>
      <w:r>
        <w:rPr>
          <w:spacing w:val="30"/>
        </w:rPr>
        <w:t xml:space="preserve"> </w:t>
      </w:r>
      <w:r>
        <w:t>altresì</w:t>
      </w:r>
      <w:r>
        <w:rPr>
          <w:spacing w:val="31"/>
        </w:rPr>
        <w:t xml:space="preserve"> </w:t>
      </w:r>
      <w:r>
        <w:t>l’art.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dello Satuto Comunale relativo alle competenze del Con</w:t>
      </w:r>
      <w:r>
        <w:t>siglio Comunale in questa</w:t>
      </w:r>
      <w:r>
        <w:rPr>
          <w:spacing w:val="-7"/>
        </w:rPr>
        <w:t xml:space="preserve"> </w:t>
      </w:r>
      <w:r>
        <w:t>materia;</w:t>
      </w:r>
    </w:p>
    <w:p w14:paraId="74924E41" w14:textId="77777777" w:rsidR="00D4155E" w:rsidRDefault="005000B4">
      <w:pPr>
        <w:pStyle w:val="Corpotesto"/>
        <w:spacing w:before="120"/>
      </w:pPr>
      <w:r>
        <w:t>Considerato che il Consiglio comunale è, pertanto, chiamato a dare gli indirizzi di cui punti precedenti;</w:t>
      </w:r>
    </w:p>
    <w:p w14:paraId="0FD80054" w14:textId="69D0E3FC" w:rsidR="00D4155E" w:rsidRDefault="005000B4" w:rsidP="00BE646D">
      <w:pPr>
        <w:pStyle w:val="Corpotesto"/>
        <w:spacing w:before="120"/>
        <w:ind w:right="392"/>
        <w:jc w:val="both"/>
      </w:pPr>
      <w:r>
        <w:t xml:space="preserve">Considerato, inoltre, quanto disposto </w:t>
      </w:r>
      <w:hyperlink r:id="rId10" w:history="1">
        <w:r w:rsidRPr="00BE646D">
          <w:rPr>
            <w:rStyle w:val="Collegamentoipertestuale"/>
          </w:rPr>
          <w:t>dall’art. 11, c. 4, del D.Lgs. n. 175/2016</w:t>
        </w:r>
      </w:hyperlink>
      <w:r>
        <w:t xml:space="preserve"> e ss.mm.ii, per il quale nella sce</w:t>
      </w:r>
      <w:r>
        <w:t>lta degli amministratori delle società a controllo pubblico, le amministrazioni assicurano il rispetto del principio di equilibrio di genere, almeno nella misura di un terzo, da computare sul numero complessivo delle designazioni o nomine effettuate in cor</w:t>
      </w:r>
      <w:r>
        <w:t>so d’anno. Qualora la società abbia un organo amministrativo collegiale, lo statuto prevede che la scelta degli amministratori da eleggere sia effettuata nel rispetto</w:t>
      </w:r>
      <w:r>
        <w:rPr>
          <w:spacing w:val="-6"/>
        </w:rPr>
        <w:t xml:space="preserve"> </w:t>
      </w:r>
      <w:r>
        <w:t>dei</w:t>
      </w:r>
      <w:r w:rsidR="00BE646D">
        <w:t xml:space="preserve"> </w:t>
      </w:r>
      <w:r>
        <w:t xml:space="preserve">criteri stabiliti dalla </w:t>
      </w:r>
      <w:hyperlink r:id="rId11" w:history="1">
        <w:r w:rsidRPr="00BE646D">
          <w:rPr>
            <w:rStyle w:val="Collegamentoipertestuale"/>
          </w:rPr>
          <w:t>legge 12 luglio 2011, n. 120</w:t>
        </w:r>
      </w:hyperlink>
      <w:r>
        <w:t>;</w:t>
      </w:r>
    </w:p>
    <w:p w14:paraId="6C916018" w14:textId="14F0A413" w:rsidR="00D4155E" w:rsidRDefault="005000B4">
      <w:pPr>
        <w:pStyle w:val="Corpotesto"/>
        <w:spacing w:line="322" w:lineRule="exact"/>
        <w:jc w:val="both"/>
      </w:pPr>
      <w:r>
        <w:t xml:space="preserve">Tenuto conto di quanto stabilito </w:t>
      </w:r>
      <w:hyperlink r:id="rId12" w:history="1">
        <w:r w:rsidRPr="00BE646D">
          <w:rPr>
            <w:rStyle w:val="Collegamentoipertestuale"/>
          </w:rPr>
          <w:t>dall’art. 3 della legge n. 120/2011</w:t>
        </w:r>
      </w:hyperlink>
      <w:r>
        <w:t>;</w:t>
      </w:r>
    </w:p>
    <w:p w14:paraId="202060CC" w14:textId="1CD62A30" w:rsidR="00D4155E" w:rsidRDefault="005000B4">
      <w:pPr>
        <w:pStyle w:val="Corpotesto"/>
        <w:ind w:right="390"/>
        <w:jc w:val="both"/>
      </w:pPr>
      <w:r>
        <w:t xml:space="preserve">Considerato, inoltre, quanto disposto </w:t>
      </w:r>
      <w:hyperlink r:id="rId13" w:history="1">
        <w:r w:rsidRPr="00BE646D">
          <w:rPr>
            <w:rStyle w:val="Collegamentoipertestuale"/>
          </w:rPr>
          <w:t>dall’art. 9, c. 7, del D.Lgs. n. 175/2016</w:t>
        </w:r>
      </w:hyperlink>
      <w:r>
        <w:t xml:space="preserve"> e ss.mm.ii, per il quale, se lo statuto della società partecipata preveda, ai sensi dell’art. 2449 c.c., l</w:t>
      </w:r>
      <w:r>
        <w:t>a facoltà del socio pubblico di nominare o revocare direttamente uno o più componenti di organi interni della società, i relativi atti sono efficaci dalla data di ricevimento, da parte della società, della comunicazione dell’atto di nomina o di revoca, fat</w:t>
      </w:r>
      <w:r>
        <w:t>ta salva l’applicazione dell’art. 2400, c. 2, c.c.;</w:t>
      </w:r>
    </w:p>
    <w:p w14:paraId="152E3121" w14:textId="68999C10" w:rsidR="00D4155E" w:rsidRDefault="005000B4">
      <w:pPr>
        <w:pStyle w:val="Corpotesto"/>
        <w:spacing w:before="1"/>
        <w:jc w:val="both"/>
      </w:pPr>
      <w:r>
        <w:t xml:space="preserve">VISTO l’allegato parere tecnico ai sensi </w:t>
      </w:r>
      <w:hyperlink r:id="rId14" w:history="1">
        <w:r w:rsidRPr="00BE646D">
          <w:rPr>
            <w:rStyle w:val="Collegamentoipertestuale"/>
          </w:rPr>
          <w:t>dell’art. 49, Tuel</w:t>
        </w:r>
      </w:hyperlink>
      <w:r>
        <w:t>;</w:t>
      </w:r>
    </w:p>
    <w:p w14:paraId="281F6940" w14:textId="77777777" w:rsidR="00D4155E" w:rsidRDefault="00D4155E">
      <w:pPr>
        <w:pStyle w:val="Corpotesto"/>
        <w:ind w:left="0"/>
        <w:rPr>
          <w:sz w:val="30"/>
        </w:rPr>
      </w:pPr>
    </w:p>
    <w:p w14:paraId="581580CF" w14:textId="77777777" w:rsidR="00D4155E" w:rsidRDefault="00D4155E">
      <w:pPr>
        <w:pStyle w:val="Corpotesto"/>
        <w:ind w:left="0"/>
        <w:rPr>
          <w:sz w:val="30"/>
        </w:rPr>
      </w:pPr>
    </w:p>
    <w:p w14:paraId="4BFB66C1" w14:textId="77777777" w:rsidR="00D4155E" w:rsidRDefault="00D4155E">
      <w:pPr>
        <w:pStyle w:val="Corpotesto"/>
        <w:ind w:left="0"/>
        <w:rPr>
          <w:sz w:val="24"/>
        </w:rPr>
      </w:pPr>
    </w:p>
    <w:p w14:paraId="06A1E6FD" w14:textId="77777777" w:rsidR="00D4155E" w:rsidRDefault="005000B4">
      <w:pPr>
        <w:pStyle w:val="Titolo1"/>
      </w:pPr>
      <w:r>
        <w:t>DELIBERA</w:t>
      </w:r>
    </w:p>
    <w:p w14:paraId="0C272878" w14:textId="77777777" w:rsidR="00D4155E" w:rsidRDefault="00D4155E">
      <w:pPr>
        <w:sectPr w:rsidR="00D4155E">
          <w:headerReference w:type="default" r:id="rId15"/>
          <w:type w:val="continuous"/>
          <w:pgSz w:w="11910" w:h="16840"/>
          <w:pgMar w:top="1060" w:right="740" w:bottom="280" w:left="920" w:header="720" w:footer="720" w:gutter="0"/>
          <w:cols w:space="720"/>
        </w:sectPr>
      </w:pPr>
    </w:p>
    <w:p w14:paraId="55482BAE" w14:textId="68050679" w:rsidR="00D4155E" w:rsidRDefault="005000B4">
      <w:pPr>
        <w:pStyle w:val="Paragrafoelenco"/>
        <w:numPr>
          <w:ilvl w:val="0"/>
          <w:numId w:val="1"/>
        </w:numPr>
        <w:tabs>
          <w:tab w:val="left" w:pos="517"/>
        </w:tabs>
        <w:spacing w:before="77"/>
        <w:ind w:firstLine="0"/>
        <w:jc w:val="both"/>
        <w:rPr>
          <w:sz w:val="28"/>
        </w:rPr>
      </w:pPr>
      <w:r>
        <w:rPr>
          <w:sz w:val="28"/>
        </w:rPr>
        <w:lastRenderedPageBreak/>
        <w:t>Di approvare gli “</w:t>
      </w:r>
      <w:r>
        <w:rPr>
          <w:i/>
          <w:sz w:val="28"/>
        </w:rPr>
        <w:t>Indirizzi per la nomina e la designazione di rappresentanti del Comune</w:t>
      </w:r>
      <w:r w:rsidR="00BE646D">
        <w:rPr>
          <w:i/>
          <w:sz w:val="28"/>
        </w:rPr>
        <w:t xml:space="preserve"> </w:t>
      </w:r>
      <w:r>
        <w:rPr>
          <w:i/>
          <w:sz w:val="28"/>
        </w:rPr>
        <w:t>presso enti, aziende ed ist</w:t>
      </w:r>
      <w:r>
        <w:rPr>
          <w:i/>
          <w:sz w:val="28"/>
        </w:rPr>
        <w:t>ituzioni</w:t>
      </w:r>
      <w:r>
        <w:rPr>
          <w:sz w:val="28"/>
        </w:rPr>
        <w:t>”, allegati al presente provvedimento quale parte integrante e</w:t>
      </w:r>
      <w:r>
        <w:rPr>
          <w:spacing w:val="-3"/>
          <w:sz w:val="28"/>
        </w:rPr>
        <w:t xml:space="preserve"> </w:t>
      </w:r>
      <w:r>
        <w:rPr>
          <w:sz w:val="28"/>
        </w:rPr>
        <w:t>sostanziale;</w:t>
      </w:r>
    </w:p>
    <w:p w14:paraId="4CC092DE" w14:textId="77777777" w:rsidR="00D4155E" w:rsidRDefault="005000B4">
      <w:pPr>
        <w:pStyle w:val="Paragrafoelenco"/>
        <w:numPr>
          <w:ilvl w:val="0"/>
          <w:numId w:val="1"/>
        </w:numPr>
        <w:tabs>
          <w:tab w:val="left" w:pos="525"/>
        </w:tabs>
        <w:ind w:right="402" w:firstLine="0"/>
        <w:jc w:val="both"/>
        <w:rPr>
          <w:sz w:val="28"/>
        </w:rPr>
      </w:pPr>
      <w:r>
        <w:rPr>
          <w:sz w:val="28"/>
        </w:rPr>
        <w:t>Di disporre che i presenti indirizzi trovino applicazione relativamente agli avvisi per nomine e designazioni, di competenza del Sindaco e del Consiglio comunale, pubblicat</w:t>
      </w:r>
      <w:r>
        <w:rPr>
          <w:sz w:val="28"/>
        </w:rPr>
        <w:t>i successivamente all’entrata in vigore degli indirizzi</w:t>
      </w:r>
      <w:r>
        <w:rPr>
          <w:spacing w:val="-11"/>
          <w:sz w:val="28"/>
        </w:rPr>
        <w:t xml:space="preserve"> </w:t>
      </w:r>
      <w:r>
        <w:rPr>
          <w:sz w:val="28"/>
        </w:rPr>
        <w:t>stessi.</w:t>
      </w:r>
    </w:p>
    <w:sectPr w:rsidR="00D4155E">
      <w:pgSz w:w="11910" w:h="16840"/>
      <w:pgMar w:top="1040" w:right="7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6B014" w14:textId="77777777" w:rsidR="005000B4" w:rsidRDefault="005000B4" w:rsidP="00BE646D">
      <w:r>
        <w:separator/>
      </w:r>
    </w:p>
  </w:endnote>
  <w:endnote w:type="continuationSeparator" w:id="0">
    <w:p w14:paraId="1AC28017" w14:textId="77777777" w:rsidR="005000B4" w:rsidRDefault="005000B4" w:rsidP="00BE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73C75" w14:textId="77777777" w:rsidR="005000B4" w:rsidRDefault="005000B4" w:rsidP="00BE646D">
      <w:r>
        <w:separator/>
      </w:r>
    </w:p>
  </w:footnote>
  <w:footnote w:type="continuationSeparator" w:id="0">
    <w:p w14:paraId="180F787C" w14:textId="77777777" w:rsidR="005000B4" w:rsidRDefault="005000B4" w:rsidP="00BE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94CA0" w14:textId="5E90C694" w:rsidR="00BE646D" w:rsidRDefault="00BE646D" w:rsidP="00BE646D">
    <w:pPr>
      <w:pStyle w:val="Intestazione"/>
      <w:jc w:val="center"/>
    </w:pPr>
    <w:r w:rsidRPr="006C3FC8">
      <w:rPr>
        <w:noProof/>
      </w:rPr>
      <w:drawing>
        <wp:inline distT="0" distB="0" distL="0" distR="0" wp14:anchorId="07D14C1F" wp14:editId="0361F89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3F3FBC" w14:textId="77777777" w:rsidR="00BE646D" w:rsidRDefault="00BE64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479C3"/>
    <w:multiLevelType w:val="hybridMultilevel"/>
    <w:tmpl w:val="E1D2D162"/>
    <w:lvl w:ilvl="0" w:tplc="3258D0B8">
      <w:start w:val="1"/>
      <w:numFmt w:val="decimal"/>
      <w:lvlText w:val="%1."/>
      <w:lvlJc w:val="left"/>
      <w:pPr>
        <w:ind w:left="2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BAAA9C40">
      <w:numFmt w:val="bullet"/>
      <w:lvlText w:val="•"/>
      <w:lvlJc w:val="left"/>
      <w:pPr>
        <w:ind w:left="1222" w:hanging="305"/>
      </w:pPr>
      <w:rPr>
        <w:rFonts w:hint="default"/>
        <w:lang w:val="it-IT" w:eastAsia="it-IT" w:bidi="it-IT"/>
      </w:rPr>
    </w:lvl>
    <w:lvl w:ilvl="2" w:tplc="DF601CA0">
      <w:numFmt w:val="bullet"/>
      <w:lvlText w:val="•"/>
      <w:lvlJc w:val="left"/>
      <w:pPr>
        <w:ind w:left="2225" w:hanging="305"/>
      </w:pPr>
      <w:rPr>
        <w:rFonts w:hint="default"/>
        <w:lang w:val="it-IT" w:eastAsia="it-IT" w:bidi="it-IT"/>
      </w:rPr>
    </w:lvl>
    <w:lvl w:ilvl="3" w:tplc="6B4253F8">
      <w:numFmt w:val="bullet"/>
      <w:lvlText w:val="•"/>
      <w:lvlJc w:val="left"/>
      <w:pPr>
        <w:ind w:left="3227" w:hanging="305"/>
      </w:pPr>
      <w:rPr>
        <w:rFonts w:hint="default"/>
        <w:lang w:val="it-IT" w:eastAsia="it-IT" w:bidi="it-IT"/>
      </w:rPr>
    </w:lvl>
    <w:lvl w:ilvl="4" w:tplc="C0F8A346">
      <w:numFmt w:val="bullet"/>
      <w:lvlText w:val="•"/>
      <w:lvlJc w:val="left"/>
      <w:pPr>
        <w:ind w:left="4230" w:hanging="305"/>
      </w:pPr>
      <w:rPr>
        <w:rFonts w:hint="default"/>
        <w:lang w:val="it-IT" w:eastAsia="it-IT" w:bidi="it-IT"/>
      </w:rPr>
    </w:lvl>
    <w:lvl w:ilvl="5" w:tplc="1E9A81E8">
      <w:numFmt w:val="bullet"/>
      <w:lvlText w:val="•"/>
      <w:lvlJc w:val="left"/>
      <w:pPr>
        <w:ind w:left="5233" w:hanging="305"/>
      </w:pPr>
      <w:rPr>
        <w:rFonts w:hint="default"/>
        <w:lang w:val="it-IT" w:eastAsia="it-IT" w:bidi="it-IT"/>
      </w:rPr>
    </w:lvl>
    <w:lvl w:ilvl="6" w:tplc="FEB2B890">
      <w:numFmt w:val="bullet"/>
      <w:lvlText w:val="•"/>
      <w:lvlJc w:val="left"/>
      <w:pPr>
        <w:ind w:left="6235" w:hanging="305"/>
      </w:pPr>
      <w:rPr>
        <w:rFonts w:hint="default"/>
        <w:lang w:val="it-IT" w:eastAsia="it-IT" w:bidi="it-IT"/>
      </w:rPr>
    </w:lvl>
    <w:lvl w:ilvl="7" w:tplc="0F520F22">
      <w:numFmt w:val="bullet"/>
      <w:lvlText w:val="•"/>
      <w:lvlJc w:val="left"/>
      <w:pPr>
        <w:ind w:left="7238" w:hanging="305"/>
      </w:pPr>
      <w:rPr>
        <w:rFonts w:hint="default"/>
        <w:lang w:val="it-IT" w:eastAsia="it-IT" w:bidi="it-IT"/>
      </w:rPr>
    </w:lvl>
    <w:lvl w:ilvl="8" w:tplc="EFB0ED58">
      <w:numFmt w:val="bullet"/>
      <w:lvlText w:val="•"/>
      <w:lvlJc w:val="left"/>
      <w:pPr>
        <w:ind w:left="8241" w:hanging="30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5E"/>
    <w:rsid w:val="005000B4"/>
    <w:rsid w:val="00BE646D"/>
    <w:rsid w:val="00D4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534F"/>
  <w15:docId w15:val="{A1AA55BB-7360-4B8E-85B1-5275D6A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3155" w:right="333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12" w:right="39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E64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46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E64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46D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E64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6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0-08-18;267~art50!vig" TargetMode="External"/><Relationship Id="rId13" Type="http://schemas.openxmlformats.org/officeDocument/2006/relationships/hyperlink" Target="http://www.normattiva.it/uri-res/N2Ls?urn:nir:stato:decreto.legislativo:2016-08-19;175~art9!vi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2000-08-18;267~art42!vig" TargetMode="External"/><Relationship Id="rId12" Type="http://schemas.openxmlformats.org/officeDocument/2006/relationships/hyperlink" Target="http://www.normattiva.it/uri-res/N2Ls?urn:nir:stato:legge:2011-07-12;120art3!vi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legge:2011-07-12;120!vi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ormattiva.it/uri-res/N2Ls?urn:nir:stato:decreto.legislativo:2016-08-19;175~art11!v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islativo:2000-08-18;267~art136!vig" TargetMode="External"/><Relationship Id="rId14" Type="http://schemas.openxmlformats.org/officeDocument/2006/relationships/hyperlink" Target="http://www.normattiva.it/uri-res/N2Ls?urn:nir:stato:decreto.legislativo:2000-08-18;267~art49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2020-09-15T07:21:00Z</dcterms:created>
  <dcterms:modified xsi:type="dcterms:W3CDTF">2020-09-15T07:21:00Z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