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30ED" w:rsidRPr="001530ED" w14:paraId="3AFE2186" w14:textId="77777777" w:rsidTr="001530ED">
        <w:tc>
          <w:tcPr>
            <w:tcW w:w="9778" w:type="dxa"/>
          </w:tcPr>
          <w:p w14:paraId="0724F956" w14:textId="77777777" w:rsidR="001530ED" w:rsidRDefault="001530ED" w:rsidP="003844BD">
            <w:pPr>
              <w:jc w:val="center"/>
              <w:rPr>
                <w:rFonts w:ascii="Palatino Linotype" w:hAnsi="Palatino Linotype"/>
                <w:b/>
              </w:rPr>
            </w:pPr>
            <w:r w:rsidRPr="001530ED">
              <w:rPr>
                <w:rFonts w:ascii="Palatino Linotype" w:hAnsi="Palatino Linotype"/>
                <w:b/>
              </w:rPr>
              <w:t>ALLEGATO A</w:t>
            </w:r>
          </w:p>
          <w:p w14:paraId="307E122A" w14:textId="77777777" w:rsidR="003844BD" w:rsidRPr="001530ED" w:rsidRDefault="003844BD" w:rsidP="003844BD">
            <w:pPr>
              <w:jc w:val="center"/>
              <w:rPr>
                <w:rFonts w:ascii="Palatino Linotype" w:hAnsi="Palatino Linotype"/>
                <w:b/>
              </w:rPr>
            </w:pPr>
          </w:p>
          <w:p w14:paraId="6F8B9864" w14:textId="77777777" w:rsidR="001530ED" w:rsidRDefault="00A45167" w:rsidP="003844BD">
            <w:pPr>
              <w:jc w:val="center"/>
              <w:rPr>
                <w:rFonts w:ascii="Palatino Linotype" w:hAnsi="Palatino Linotype"/>
                <w:b/>
              </w:rPr>
            </w:pPr>
            <w:r w:rsidRPr="00A45167">
              <w:rPr>
                <w:rFonts w:ascii="Palatino Linotype" w:hAnsi="Palatino Linotype"/>
                <w:b/>
              </w:rPr>
              <w:t>CANONE DI CONCESSIONE PER L'OCCUPAZIONE DELLE AREE E DEGLI SPAZI APPARTENENTI AL DEMANIO O AL PATRIMONIO INDISPONIBILE, DESTINATI A MERCATI REALIZZATI ANCHE IN STRUTTURE ATTREZZATE</w:t>
            </w:r>
            <w:r>
              <w:rPr>
                <w:rFonts w:ascii="Palatino Linotype" w:hAnsi="Palatino Linotype"/>
                <w:b/>
              </w:rPr>
              <w:t>.</w:t>
            </w:r>
          </w:p>
          <w:p w14:paraId="59622AF0" w14:textId="77777777" w:rsidR="003844BD" w:rsidRDefault="003844BD" w:rsidP="003844BD">
            <w:pPr>
              <w:jc w:val="center"/>
              <w:rPr>
                <w:rFonts w:ascii="Palatino Linotype" w:hAnsi="Palatino Linotype"/>
                <w:b/>
              </w:rPr>
            </w:pPr>
          </w:p>
          <w:p w14:paraId="261627B5" w14:textId="77777777" w:rsidR="003844BD" w:rsidRPr="001530ED" w:rsidRDefault="003844BD" w:rsidP="003844BD">
            <w:pPr>
              <w:jc w:val="center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</w:rPr>
              <w:t>TARIFFE ANNO 2021</w:t>
            </w:r>
          </w:p>
        </w:tc>
      </w:tr>
    </w:tbl>
    <w:p w14:paraId="4258D231" w14:textId="77777777" w:rsidR="001530ED" w:rsidRDefault="001530ED" w:rsidP="001530ED">
      <w:pPr>
        <w:rPr>
          <w:rFonts w:ascii="Palatino Linotype" w:hAnsi="Palatino Linotype"/>
        </w:rPr>
      </w:pPr>
    </w:p>
    <w:p w14:paraId="64848AB3" w14:textId="77777777" w:rsidR="001530ED" w:rsidRPr="001530ED" w:rsidRDefault="001530ED" w:rsidP="001530ED">
      <w:pPr>
        <w:jc w:val="center"/>
        <w:rPr>
          <w:rFonts w:ascii="Palatino Linotype" w:hAnsi="Palatino Linotype"/>
          <w:b/>
        </w:rPr>
      </w:pPr>
      <w:r w:rsidRPr="001530ED">
        <w:rPr>
          <w:rFonts w:ascii="Palatino Linotype" w:hAnsi="Palatino Linotype"/>
          <w:b/>
        </w:rPr>
        <w:t>CLASSIFICAZIONE COMUNE</w:t>
      </w:r>
    </w:p>
    <w:p w14:paraId="4BC9DA41" w14:textId="77777777" w:rsidR="001530ED" w:rsidRPr="001530ED" w:rsidRDefault="001530ED" w:rsidP="001530ED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Ai fini della classificazione </w:t>
      </w:r>
      <w:r w:rsidRPr="001530ED">
        <w:rPr>
          <w:rFonts w:ascii="Palatino Linotype" w:hAnsi="Palatino Linotype"/>
        </w:rPr>
        <w:t xml:space="preserve">anagrafica dell’ente, </w:t>
      </w:r>
      <w:r>
        <w:rPr>
          <w:rFonts w:ascii="Palatino Linotype" w:hAnsi="Palatino Linotype"/>
        </w:rPr>
        <w:t xml:space="preserve">si </w:t>
      </w:r>
      <w:r w:rsidRPr="001530ED">
        <w:rPr>
          <w:rFonts w:ascii="Palatino Linotype" w:hAnsi="Palatino Linotype"/>
        </w:rPr>
        <w:t xml:space="preserve">considera la popolazione residente al 31.12.2019 di n. </w:t>
      </w:r>
      <w:r w:rsidR="009E2C53" w:rsidRPr="009E2C53">
        <w:rPr>
          <w:rFonts w:ascii="Palatino Linotype" w:hAnsi="Palatino Linotype"/>
          <w:color w:val="FF0000"/>
        </w:rPr>
        <w:t>NN.NNN</w:t>
      </w:r>
      <w:r w:rsidRPr="009E2C53">
        <w:rPr>
          <w:rFonts w:ascii="Palatino Linotype" w:hAnsi="Palatino Linotype"/>
          <w:color w:val="FF0000"/>
        </w:rPr>
        <w:t xml:space="preserve"> </w:t>
      </w:r>
      <w:r w:rsidRPr="001530ED">
        <w:rPr>
          <w:rFonts w:ascii="Palatino Linotype" w:hAnsi="Palatino Linotype"/>
        </w:rPr>
        <w:t>abitanti, come risulta dai dati pubblicati annualmente dall’Istituto Nazionale di Statistica.</w:t>
      </w:r>
    </w:p>
    <w:p w14:paraId="19C6D8AA" w14:textId="77777777" w:rsidR="001530ED" w:rsidRPr="001530ED" w:rsidRDefault="001530ED" w:rsidP="001530ED">
      <w:pPr>
        <w:jc w:val="center"/>
        <w:rPr>
          <w:rFonts w:ascii="Palatino Linotype" w:hAnsi="Palatino Linotype"/>
          <w:b/>
        </w:rPr>
      </w:pPr>
      <w:r w:rsidRPr="001530ED">
        <w:rPr>
          <w:rFonts w:ascii="Palatino Linotype" w:hAnsi="Palatino Linotype"/>
          <w:b/>
        </w:rPr>
        <w:t>CLASSIFICAZIONE DELLA STRADE, AREE E SPAZI PUBBLICI</w:t>
      </w:r>
    </w:p>
    <w:p w14:paraId="7C72BE8E" w14:textId="77777777" w:rsidR="001530ED" w:rsidRDefault="001530ED" w:rsidP="009E2C53">
      <w:pPr>
        <w:jc w:val="both"/>
        <w:rPr>
          <w:rFonts w:ascii="Palatino Linotype" w:hAnsi="Palatino Linotype"/>
        </w:rPr>
      </w:pPr>
      <w:r w:rsidRPr="001530ED">
        <w:rPr>
          <w:rFonts w:ascii="Palatino Linotype" w:hAnsi="Palatino Linotype"/>
        </w:rPr>
        <w:t xml:space="preserve">Ai fini dell’applicazione del canone, il territorio </w:t>
      </w:r>
      <w:r>
        <w:rPr>
          <w:rFonts w:ascii="Palatino Linotype" w:hAnsi="Palatino Linotype"/>
        </w:rPr>
        <w:t xml:space="preserve">del Comune di </w:t>
      </w:r>
      <w:r w:rsidR="009E2C53" w:rsidRPr="009E2C53">
        <w:rPr>
          <w:rFonts w:ascii="Palatino Linotype" w:hAnsi="Palatino Linotype"/>
          <w:color w:val="FF0000"/>
        </w:rPr>
        <w:t>…………</w:t>
      </w:r>
      <w:r w:rsidRPr="001530ED">
        <w:rPr>
          <w:rFonts w:ascii="Palatino Linotype" w:hAnsi="Palatino Linotype"/>
        </w:rPr>
        <w:t>, sulla base dell’importanza delle strade e delle aree pubbliche, tenendo presente la congiuntura economica, si suddivide nelle seguenti categorie:</w:t>
      </w:r>
    </w:p>
    <w:p w14:paraId="590554C1" w14:textId="77777777" w:rsidR="001530ED" w:rsidRDefault="001530ED" w:rsidP="001530ED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 w:rsidRPr="001530ED">
        <w:rPr>
          <w:rFonts w:ascii="Palatino Linotype" w:hAnsi="Palatino Linotype"/>
        </w:rPr>
        <w:t xml:space="preserve">Categoria 1: </w:t>
      </w:r>
      <w:r w:rsidR="009E2C53" w:rsidRPr="009E2C53">
        <w:rPr>
          <w:rFonts w:ascii="Palatino Linotype" w:hAnsi="Palatino Linotype"/>
          <w:color w:val="FF0000"/>
        </w:rPr>
        <w:t>…………</w:t>
      </w:r>
      <w:r w:rsidRPr="001530ED">
        <w:rPr>
          <w:rFonts w:ascii="Palatino Linotype" w:hAnsi="Palatino Linotype"/>
        </w:rPr>
        <w:t>;</w:t>
      </w:r>
    </w:p>
    <w:p w14:paraId="3C916407" w14:textId="77777777" w:rsidR="001530ED" w:rsidRPr="001530ED" w:rsidRDefault="001530ED" w:rsidP="001530ED">
      <w:pPr>
        <w:pStyle w:val="Paragrafoelenco"/>
        <w:numPr>
          <w:ilvl w:val="0"/>
          <w:numId w:val="1"/>
        </w:numPr>
        <w:rPr>
          <w:rFonts w:ascii="Palatino Linotype" w:hAnsi="Palatino Linotype"/>
        </w:rPr>
      </w:pPr>
      <w:r w:rsidRPr="001530ED">
        <w:rPr>
          <w:rFonts w:ascii="Palatino Linotype" w:hAnsi="Palatino Linotype"/>
        </w:rPr>
        <w:t xml:space="preserve">Categoria 2: </w:t>
      </w:r>
      <w:r w:rsidR="009E2C53" w:rsidRPr="009E2C53">
        <w:rPr>
          <w:rFonts w:ascii="Palatino Linotype" w:hAnsi="Palatino Linotype"/>
          <w:color w:val="FF0000"/>
        </w:rPr>
        <w:t>…………</w:t>
      </w:r>
      <w:r w:rsidRPr="001530ED">
        <w:rPr>
          <w:rFonts w:ascii="Palatino Linotype" w:hAnsi="Palatino Linotype"/>
        </w:rPr>
        <w:t>.</w:t>
      </w:r>
    </w:p>
    <w:p w14:paraId="30B73A4F" w14:textId="77777777" w:rsidR="001530ED" w:rsidRPr="001530ED" w:rsidRDefault="001530ED" w:rsidP="001530ED">
      <w:pPr>
        <w:jc w:val="center"/>
        <w:rPr>
          <w:rFonts w:ascii="Palatino Linotype" w:hAnsi="Palatino Linotype"/>
          <w:b/>
        </w:rPr>
      </w:pPr>
      <w:r w:rsidRPr="001530ED">
        <w:rPr>
          <w:rFonts w:ascii="Palatino Linotype" w:hAnsi="Palatino Linotype"/>
          <w:b/>
        </w:rPr>
        <w:t>DETERMINAZIONE DELLE TARIFFE ANNUALI</w:t>
      </w:r>
    </w:p>
    <w:p w14:paraId="0044B368" w14:textId="6980FAF4" w:rsidR="001530ED" w:rsidRDefault="001530ED" w:rsidP="001F0CD6">
      <w:pPr>
        <w:jc w:val="both"/>
        <w:rPr>
          <w:rFonts w:ascii="Palatino Linotype" w:hAnsi="Palatino Linotype"/>
        </w:rPr>
      </w:pPr>
      <w:r w:rsidRPr="001530ED">
        <w:rPr>
          <w:rFonts w:ascii="Palatino Linotype" w:hAnsi="Palatino Linotype"/>
        </w:rPr>
        <w:t xml:space="preserve">La tariffa </w:t>
      </w:r>
      <w:r w:rsidR="008B3993">
        <w:rPr>
          <w:rFonts w:ascii="Palatino Linotype" w:hAnsi="Palatino Linotype"/>
        </w:rPr>
        <w:t>di base</w:t>
      </w:r>
      <w:r w:rsidRPr="001530ED">
        <w:rPr>
          <w:rFonts w:ascii="Palatino Linotype" w:hAnsi="Palatino Linotype"/>
        </w:rPr>
        <w:t xml:space="preserve"> annua</w:t>
      </w:r>
      <w:r w:rsidR="008B3993">
        <w:rPr>
          <w:rFonts w:ascii="Palatino Linotype" w:hAnsi="Palatino Linotype"/>
        </w:rPr>
        <w:t>le</w:t>
      </w:r>
      <w:r w:rsidRPr="001530ED">
        <w:rPr>
          <w:rFonts w:ascii="Palatino Linotype" w:hAnsi="Palatino Linotype"/>
        </w:rPr>
        <w:t xml:space="preserve">, determinata ai sensi </w:t>
      </w:r>
      <w:hyperlink r:id="rId8" w:history="1">
        <w:r w:rsidRPr="00F452B1">
          <w:rPr>
            <w:rStyle w:val="Collegamentoipertestuale"/>
            <w:rFonts w:ascii="Palatino Linotype" w:hAnsi="Palatino Linotype"/>
          </w:rPr>
          <w:t xml:space="preserve">dell’art. 1 comma </w:t>
        </w:r>
        <w:r w:rsidR="008B3993" w:rsidRPr="00F452B1">
          <w:rPr>
            <w:rStyle w:val="Collegamentoipertestuale"/>
            <w:rFonts w:ascii="Palatino Linotype" w:hAnsi="Palatino Linotype"/>
          </w:rPr>
          <w:t>841</w:t>
        </w:r>
        <w:r w:rsidRPr="00F452B1">
          <w:rPr>
            <w:rStyle w:val="Collegamentoipertestuale"/>
            <w:rFonts w:ascii="Palatino Linotype" w:hAnsi="Palatino Linotype"/>
          </w:rPr>
          <w:t xml:space="preserve"> della L. 160/2019</w:t>
        </w:r>
      </w:hyperlink>
      <w:r w:rsidRPr="001530ED">
        <w:rPr>
          <w:rFonts w:ascii="Palatino Linotype" w:hAnsi="Palatino Linotype"/>
        </w:rPr>
        <w:t xml:space="preserve">, </w:t>
      </w:r>
      <w:r w:rsidR="00170EAF">
        <w:rPr>
          <w:rFonts w:ascii="Palatino Linotype" w:hAnsi="Palatino Linotype"/>
        </w:rPr>
        <w:t>per le occupazioni che si protraggono</w:t>
      </w:r>
      <w:r w:rsidRPr="001530ED">
        <w:rPr>
          <w:rFonts w:ascii="Palatino Linotype" w:hAnsi="Palatino Linotype"/>
        </w:rPr>
        <w:t xml:space="preserve"> per l’intero anno solare</w:t>
      </w:r>
      <w:r w:rsidR="00170EAF">
        <w:rPr>
          <w:rFonts w:ascii="Palatino Linotype" w:hAnsi="Palatino Linotype"/>
        </w:rPr>
        <w:t>,</w:t>
      </w:r>
      <w:r w:rsidRPr="001530ED">
        <w:rPr>
          <w:rFonts w:ascii="Palatino Linotype" w:hAnsi="Palatino Linotype"/>
        </w:rPr>
        <w:t xml:space="preserve"> è la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819"/>
      </w:tblGrid>
      <w:tr w:rsidR="001530ED" w14:paraId="45079DB9" w14:textId="77777777" w:rsidTr="001F0CD6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66A353ED" w14:textId="77777777" w:rsidR="001530ED" w:rsidRPr="001530ED" w:rsidRDefault="001530ED" w:rsidP="001F0CD6">
            <w:pPr>
              <w:jc w:val="center"/>
              <w:rPr>
                <w:rFonts w:ascii="Palatino Linotype" w:hAnsi="Palatino Linotype"/>
                <w:b/>
              </w:rPr>
            </w:pPr>
            <w:r w:rsidRPr="001530ED">
              <w:rPr>
                <w:rFonts w:ascii="Palatino Linotype" w:hAnsi="Palatino Linotype"/>
                <w:b/>
              </w:rPr>
              <w:t>Classificazione dei comuni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22D79F51" w14:textId="77777777" w:rsidR="001530ED" w:rsidRPr="001530ED" w:rsidRDefault="001530ED" w:rsidP="00144C2F">
            <w:pPr>
              <w:jc w:val="center"/>
              <w:rPr>
                <w:rFonts w:ascii="Palatino Linotype" w:hAnsi="Palatino Linotype"/>
                <w:b/>
              </w:rPr>
            </w:pPr>
            <w:r w:rsidRPr="001530ED">
              <w:rPr>
                <w:rFonts w:ascii="Palatino Linotype" w:hAnsi="Palatino Linotype"/>
                <w:b/>
              </w:rPr>
              <w:t xml:space="preserve">Tariffa </w:t>
            </w:r>
            <w:r w:rsidR="00144C2F">
              <w:rPr>
                <w:rFonts w:ascii="Palatino Linotype" w:hAnsi="Palatino Linotype"/>
                <w:b/>
              </w:rPr>
              <w:t>Annuale</w:t>
            </w:r>
          </w:p>
        </w:tc>
      </w:tr>
      <w:tr w:rsidR="001530ED" w14:paraId="7528AF73" w14:textId="77777777" w:rsidTr="001F0CD6">
        <w:trPr>
          <w:jc w:val="center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503A9DFE" w14:textId="77777777" w:rsidR="001530ED" w:rsidRPr="009E2C53" w:rsidRDefault="001530ED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>Comune con oltre 30.000 fino a 100.000 abitanti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73CC06AA" w14:textId="77777777" w:rsidR="001530ED" w:rsidRPr="009E2C53" w:rsidRDefault="001530ED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>Euro 50,00</w:t>
            </w:r>
          </w:p>
        </w:tc>
      </w:tr>
      <w:tr w:rsidR="001F0CD6" w14:paraId="130B5172" w14:textId="77777777" w:rsidTr="001F0CD6">
        <w:trPr>
          <w:jc w:val="center"/>
        </w:trPr>
        <w:tc>
          <w:tcPr>
            <w:tcW w:w="4749" w:type="dxa"/>
            <w:shd w:val="pct25" w:color="auto" w:fill="auto"/>
            <w:vAlign w:val="center"/>
          </w:tcPr>
          <w:p w14:paraId="34DFCD2F" w14:textId="77777777" w:rsidR="001F0CD6" w:rsidRPr="001F0CD6" w:rsidRDefault="001F0CD6" w:rsidP="001F0CD6">
            <w:pPr>
              <w:jc w:val="center"/>
              <w:rPr>
                <w:rFonts w:ascii="Palatino Linotype" w:hAnsi="Palatino Linotype"/>
                <w:b/>
              </w:rPr>
            </w:pPr>
            <w:r w:rsidRPr="001F0CD6">
              <w:rPr>
                <w:rFonts w:ascii="Palatino Linotype" w:hAnsi="Palatino Linotype"/>
                <w:b/>
              </w:rPr>
              <w:t>Categoria</w:t>
            </w:r>
          </w:p>
        </w:tc>
        <w:tc>
          <w:tcPr>
            <w:tcW w:w="4819" w:type="dxa"/>
            <w:shd w:val="pct25" w:color="auto" w:fill="auto"/>
            <w:vAlign w:val="center"/>
          </w:tcPr>
          <w:p w14:paraId="08CF480A" w14:textId="77777777" w:rsidR="001F0CD6" w:rsidRPr="001F0CD6" w:rsidRDefault="001F0CD6" w:rsidP="001F0CD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F0CD6">
              <w:rPr>
                <w:rFonts w:ascii="Palatino Linotype" w:hAnsi="Palatino Linotype"/>
                <w:b/>
                <w:sz w:val="18"/>
                <w:szCs w:val="18"/>
              </w:rPr>
              <w:t>Tariffa Annuale per metro quadrato o metro lineare</w:t>
            </w:r>
          </w:p>
        </w:tc>
      </w:tr>
      <w:tr w:rsidR="001F0CD6" w14:paraId="533378FD" w14:textId="77777777" w:rsidTr="001F0CD6">
        <w:trPr>
          <w:jc w:val="center"/>
        </w:trPr>
        <w:tc>
          <w:tcPr>
            <w:tcW w:w="4749" w:type="dxa"/>
            <w:vAlign w:val="center"/>
          </w:tcPr>
          <w:p w14:paraId="34404387" w14:textId="77777777" w:rsidR="001F0CD6" w:rsidRPr="009E2C53" w:rsidRDefault="001F0CD6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 xml:space="preserve">Categoria 1: </w:t>
            </w:r>
            <w:r w:rsidR="009E2C53" w:rsidRPr="009E2C53">
              <w:rPr>
                <w:rFonts w:ascii="Palatino Linotype" w:hAnsi="Palatino Linotype"/>
                <w:color w:val="FF0000"/>
              </w:rPr>
              <w:t>…………</w:t>
            </w:r>
          </w:p>
        </w:tc>
        <w:tc>
          <w:tcPr>
            <w:tcW w:w="4819" w:type="dxa"/>
            <w:vAlign w:val="center"/>
          </w:tcPr>
          <w:p w14:paraId="206B65F7" w14:textId="77777777" w:rsidR="001F0CD6" w:rsidRPr="009E2C53" w:rsidRDefault="001F0CD6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>Euro 50,00</w:t>
            </w:r>
          </w:p>
        </w:tc>
      </w:tr>
    </w:tbl>
    <w:p w14:paraId="78B56DF4" w14:textId="77777777" w:rsidR="001530ED" w:rsidRPr="001F0CD6" w:rsidRDefault="001530ED" w:rsidP="001F0CD6">
      <w:pPr>
        <w:spacing w:before="240" w:after="120"/>
        <w:jc w:val="center"/>
        <w:rPr>
          <w:rFonts w:ascii="Palatino Linotype" w:hAnsi="Palatino Linotype"/>
          <w:b/>
        </w:rPr>
      </w:pPr>
      <w:r w:rsidRPr="001F0CD6">
        <w:rPr>
          <w:rFonts w:ascii="Palatino Linotype" w:hAnsi="Palatino Linotype"/>
          <w:b/>
        </w:rPr>
        <w:t>DETERMINAZIONE DELLE TARIFFE GIORNALIERE</w:t>
      </w:r>
    </w:p>
    <w:p w14:paraId="634826FE" w14:textId="212906ED" w:rsidR="001530ED" w:rsidRPr="001530ED" w:rsidRDefault="001530ED" w:rsidP="001530ED">
      <w:pPr>
        <w:rPr>
          <w:rFonts w:ascii="Palatino Linotype" w:hAnsi="Palatino Linotype"/>
        </w:rPr>
      </w:pPr>
      <w:r w:rsidRPr="001530ED">
        <w:rPr>
          <w:rFonts w:ascii="Palatino Linotype" w:hAnsi="Palatino Linotype"/>
        </w:rPr>
        <w:t xml:space="preserve">La tariffa </w:t>
      </w:r>
      <w:r w:rsidR="00144C2F">
        <w:rPr>
          <w:rFonts w:ascii="Palatino Linotype" w:hAnsi="Palatino Linotype"/>
        </w:rPr>
        <w:t>di base giornaliera</w:t>
      </w:r>
      <w:r w:rsidRPr="001530ED">
        <w:rPr>
          <w:rFonts w:ascii="Palatino Linotype" w:hAnsi="Palatino Linotype"/>
        </w:rPr>
        <w:t xml:space="preserve">, determinata ai sensi </w:t>
      </w:r>
      <w:hyperlink r:id="rId9" w:history="1">
        <w:r w:rsidRPr="00F452B1">
          <w:rPr>
            <w:rStyle w:val="Collegamentoipertestuale"/>
            <w:rFonts w:ascii="Palatino Linotype" w:hAnsi="Palatino Linotype"/>
          </w:rPr>
          <w:t>dell’art. 1 comma 8</w:t>
        </w:r>
        <w:r w:rsidR="00144C2F" w:rsidRPr="00F452B1">
          <w:rPr>
            <w:rStyle w:val="Collegamentoipertestuale"/>
            <w:rFonts w:ascii="Palatino Linotype" w:hAnsi="Palatino Linotype"/>
          </w:rPr>
          <w:t>42</w:t>
        </w:r>
        <w:r w:rsidRPr="00F452B1">
          <w:rPr>
            <w:rStyle w:val="Collegamentoipertestuale"/>
            <w:rFonts w:ascii="Palatino Linotype" w:hAnsi="Palatino Linotype"/>
          </w:rPr>
          <w:t xml:space="preserve"> della L. 160/2019</w:t>
        </w:r>
      </w:hyperlink>
      <w:r w:rsidRPr="001530ED">
        <w:rPr>
          <w:rFonts w:ascii="Palatino Linotype" w:hAnsi="Palatino Linotype"/>
        </w:rPr>
        <w:t xml:space="preserve">, </w:t>
      </w:r>
      <w:r w:rsidR="00144C2F">
        <w:rPr>
          <w:rFonts w:ascii="Palatino Linotype" w:hAnsi="Palatino Linotype"/>
        </w:rPr>
        <w:t>per le occupazioni che si protraggono per un periodo inferiore all’anno solare</w:t>
      </w:r>
      <w:r w:rsidRPr="001530ED">
        <w:rPr>
          <w:rFonts w:ascii="Palatino Linotype" w:hAnsi="Palatino Linotype"/>
        </w:rPr>
        <w:t>, è la seguente: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49"/>
        <w:gridCol w:w="4819"/>
      </w:tblGrid>
      <w:tr w:rsidR="001F0CD6" w14:paraId="35414F01" w14:textId="77777777" w:rsidTr="001F0CD6">
        <w:trPr>
          <w:jc w:val="center"/>
        </w:trPr>
        <w:tc>
          <w:tcPr>
            <w:tcW w:w="4749" w:type="dxa"/>
            <w:shd w:val="pct50" w:color="auto" w:fill="auto"/>
            <w:vAlign w:val="center"/>
          </w:tcPr>
          <w:p w14:paraId="620CDA21" w14:textId="77777777" w:rsidR="001F0CD6" w:rsidRPr="001530ED" w:rsidRDefault="001F0CD6" w:rsidP="001F0CD6">
            <w:pPr>
              <w:jc w:val="center"/>
              <w:rPr>
                <w:rFonts w:ascii="Palatino Linotype" w:hAnsi="Palatino Linotype"/>
                <w:b/>
              </w:rPr>
            </w:pPr>
            <w:r w:rsidRPr="001530ED">
              <w:rPr>
                <w:rFonts w:ascii="Palatino Linotype" w:hAnsi="Palatino Linotype"/>
                <w:b/>
              </w:rPr>
              <w:t>Classificazione dei comuni</w:t>
            </w:r>
          </w:p>
        </w:tc>
        <w:tc>
          <w:tcPr>
            <w:tcW w:w="4819" w:type="dxa"/>
            <w:shd w:val="pct50" w:color="auto" w:fill="auto"/>
            <w:vAlign w:val="center"/>
          </w:tcPr>
          <w:p w14:paraId="2219077F" w14:textId="77777777" w:rsidR="001F0CD6" w:rsidRPr="001530ED" w:rsidRDefault="001F0CD6" w:rsidP="001F0CD6">
            <w:pPr>
              <w:jc w:val="center"/>
              <w:rPr>
                <w:rFonts w:ascii="Palatino Linotype" w:hAnsi="Palatino Linotype"/>
                <w:b/>
              </w:rPr>
            </w:pPr>
            <w:r w:rsidRPr="001530ED">
              <w:rPr>
                <w:rFonts w:ascii="Palatino Linotype" w:hAnsi="Palatino Linotype"/>
                <w:b/>
              </w:rPr>
              <w:t xml:space="preserve">Tariffa </w:t>
            </w:r>
            <w:r>
              <w:rPr>
                <w:rFonts w:ascii="Palatino Linotype" w:hAnsi="Palatino Linotype"/>
                <w:b/>
              </w:rPr>
              <w:t>Giornaliera</w:t>
            </w:r>
          </w:p>
        </w:tc>
      </w:tr>
      <w:tr w:rsidR="001F0CD6" w14:paraId="60685B60" w14:textId="77777777" w:rsidTr="00AC3058">
        <w:trPr>
          <w:jc w:val="center"/>
        </w:trPr>
        <w:tc>
          <w:tcPr>
            <w:tcW w:w="4749" w:type="dxa"/>
            <w:tcBorders>
              <w:bottom w:val="single" w:sz="4" w:space="0" w:color="auto"/>
            </w:tcBorders>
            <w:vAlign w:val="center"/>
          </w:tcPr>
          <w:p w14:paraId="2580B839" w14:textId="77777777" w:rsidR="001F0CD6" w:rsidRPr="009E2C53" w:rsidRDefault="001F0CD6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>Comune con oltre 30.000 fino a 100.000 abitanti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vAlign w:val="center"/>
          </w:tcPr>
          <w:p w14:paraId="56283AE6" w14:textId="77777777" w:rsidR="001F0CD6" w:rsidRPr="009E2C53" w:rsidRDefault="001F0CD6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>Euro 1,20</w:t>
            </w:r>
          </w:p>
        </w:tc>
      </w:tr>
      <w:tr w:rsidR="001F0CD6" w14:paraId="0D378EE1" w14:textId="77777777" w:rsidTr="00AC3058">
        <w:trPr>
          <w:jc w:val="center"/>
        </w:trPr>
        <w:tc>
          <w:tcPr>
            <w:tcW w:w="4749" w:type="dxa"/>
            <w:shd w:val="pct25" w:color="auto" w:fill="auto"/>
            <w:vAlign w:val="center"/>
          </w:tcPr>
          <w:p w14:paraId="1E865934" w14:textId="77777777" w:rsidR="001F0CD6" w:rsidRPr="001F0CD6" w:rsidRDefault="001F0CD6" w:rsidP="001F0CD6">
            <w:pPr>
              <w:jc w:val="center"/>
              <w:rPr>
                <w:rFonts w:ascii="Palatino Linotype" w:hAnsi="Palatino Linotype"/>
                <w:b/>
              </w:rPr>
            </w:pPr>
            <w:r w:rsidRPr="001F0CD6">
              <w:rPr>
                <w:rFonts w:ascii="Palatino Linotype" w:hAnsi="Palatino Linotype"/>
                <w:b/>
              </w:rPr>
              <w:t>Categoria</w:t>
            </w:r>
          </w:p>
        </w:tc>
        <w:tc>
          <w:tcPr>
            <w:tcW w:w="4819" w:type="dxa"/>
            <w:shd w:val="pct25" w:color="auto" w:fill="auto"/>
            <w:vAlign w:val="center"/>
          </w:tcPr>
          <w:p w14:paraId="2318E5E0" w14:textId="77777777" w:rsidR="001F0CD6" w:rsidRPr="001F0CD6" w:rsidRDefault="001F0CD6" w:rsidP="001F0CD6">
            <w:pPr>
              <w:jc w:val="center"/>
              <w:rPr>
                <w:rFonts w:ascii="Palatino Linotype" w:hAnsi="Palatino Linotype"/>
                <w:b/>
                <w:sz w:val="18"/>
                <w:szCs w:val="18"/>
              </w:rPr>
            </w:pPr>
            <w:r w:rsidRPr="001F0CD6">
              <w:rPr>
                <w:rFonts w:ascii="Palatino Linotype" w:hAnsi="Palatino Linotype"/>
                <w:b/>
                <w:sz w:val="18"/>
                <w:szCs w:val="18"/>
              </w:rPr>
              <w:t xml:space="preserve">Tariffa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>Giornaliera</w:t>
            </w:r>
            <w:r w:rsidRPr="001F0CD6">
              <w:rPr>
                <w:rFonts w:ascii="Palatino Linotype" w:hAnsi="Palatino Linotype"/>
                <w:b/>
                <w:sz w:val="18"/>
                <w:szCs w:val="18"/>
              </w:rPr>
              <w:t xml:space="preserve"> per metro quadrato o metro lineare</w:t>
            </w:r>
          </w:p>
        </w:tc>
      </w:tr>
      <w:tr w:rsidR="001F0CD6" w14:paraId="14937C96" w14:textId="77777777" w:rsidTr="001F0CD6">
        <w:trPr>
          <w:jc w:val="center"/>
        </w:trPr>
        <w:tc>
          <w:tcPr>
            <w:tcW w:w="4749" w:type="dxa"/>
            <w:vAlign w:val="center"/>
          </w:tcPr>
          <w:p w14:paraId="277112AD" w14:textId="77777777" w:rsidR="001F0CD6" w:rsidRPr="009E2C53" w:rsidRDefault="001F0CD6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 xml:space="preserve">Categoria 1: </w:t>
            </w:r>
            <w:r w:rsidR="009E2C53" w:rsidRPr="009E2C53">
              <w:rPr>
                <w:rFonts w:ascii="Palatino Linotype" w:hAnsi="Palatino Linotype"/>
                <w:color w:val="FF0000"/>
              </w:rPr>
              <w:t>…………</w:t>
            </w:r>
          </w:p>
        </w:tc>
        <w:tc>
          <w:tcPr>
            <w:tcW w:w="4819" w:type="dxa"/>
            <w:vAlign w:val="center"/>
          </w:tcPr>
          <w:p w14:paraId="37E62E85" w14:textId="77777777" w:rsidR="001F0CD6" w:rsidRPr="009E2C53" w:rsidRDefault="001F0CD6" w:rsidP="001F0CD6">
            <w:pPr>
              <w:jc w:val="center"/>
              <w:rPr>
                <w:rFonts w:ascii="Palatino Linotype" w:hAnsi="Palatino Linotype"/>
                <w:color w:val="FF0000"/>
              </w:rPr>
            </w:pPr>
            <w:r w:rsidRPr="009E2C53">
              <w:rPr>
                <w:rFonts w:ascii="Palatino Linotype" w:hAnsi="Palatino Linotype"/>
                <w:color w:val="FF0000"/>
              </w:rPr>
              <w:t>Euro 1</w:t>
            </w:r>
            <w:r w:rsidR="002A399F" w:rsidRPr="009E2C53">
              <w:rPr>
                <w:rFonts w:ascii="Palatino Linotype" w:hAnsi="Palatino Linotype"/>
                <w:color w:val="FF0000"/>
              </w:rPr>
              <w:t>,2</w:t>
            </w:r>
            <w:r w:rsidRPr="009E2C53">
              <w:rPr>
                <w:rFonts w:ascii="Palatino Linotype" w:hAnsi="Palatino Linotype"/>
                <w:color w:val="FF0000"/>
              </w:rPr>
              <w:t>0</w:t>
            </w:r>
          </w:p>
        </w:tc>
      </w:tr>
    </w:tbl>
    <w:p w14:paraId="791F38EA" w14:textId="77777777" w:rsidR="002A399F" w:rsidRDefault="005557CA" w:rsidP="005557CA">
      <w:pPr>
        <w:spacing w:before="240"/>
        <w:rPr>
          <w:rFonts w:ascii="Palatino Linotype" w:hAnsi="Palatino Linotype"/>
        </w:rPr>
      </w:pPr>
      <w:r w:rsidRPr="005557CA">
        <w:rPr>
          <w:rFonts w:ascii="Palatino Linotype" w:hAnsi="Palatino Linotype"/>
        </w:rPr>
        <w:lastRenderedPageBreak/>
        <w:t xml:space="preserve">Per gli </w:t>
      </w:r>
      <w:proofErr w:type="spellStart"/>
      <w:r w:rsidRPr="005557CA">
        <w:rPr>
          <w:rFonts w:ascii="Palatino Linotype" w:hAnsi="Palatino Linotype"/>
        </w:rPr>
        <w:t>spuntisti</w:t>
      </w:r>
      <w:proofErr w:type="spellEnd"/>
      <w:r w:rsidRPr="005557CA">
        <w:rPr>
          <w:rFonts w:ascii="Palatino Linotype" w:hAnsi="Palatino Linotype"/>
        </w:rPr>
        <w:t xml:space="preserve"> del mercato settimanale, il canone è determinato in misura forfettaria ed è pari a € </w:t>
      </w:r>
      <w:r w:rsidR="009E2C53" w:rsidRPr="009E2C53">
        <w:rPr>
          <w:rFonts w:ascii="Palatino Linotype" w:hAnsi="Palatino Linotype"/>
          <w:color w:val="FF0000"/>
        </w:rPr>
        <w:t>NN</w:t>
      </w:r>
      <w:r w:rsidRPr="009E2C53">
        <w:rPr>
          <w:rFonts w:ascii="Palatino Linotype" w:hAnsi="Palatino Linotype"/>
          <w:color w:val="FF0000"/>
        </w:rPr>
        <w:t>,00</w:t>
      </w:r>
      <w:r w:rsidRPr="005557CA">
        <w:rPr>
          <w:rFonts w:ascii="Palatino Linotype" w:hAnsi="Palatino Linotype"/>
        </w:rPr>
        <w:t>.</w:t>
      </w:r>
      <w:r w:rsidR="002A399F">
        <w:rPr>
          <w:rFonts w:ascii="Palatino Linotype" w:hAnsi="Palatino Linotype"/>
        </w:rPr>
        <w:br w:type="page"/>
      </w:r>
    </w:p>
    <w:p w14:paraId="3DD77294" w14:textId="77777777" w:rsidR="001F0CD6" w:rsidRPr="00A97393" w:rsidRDefault="002A399F" w:rsidP="00457430">
      <w:pPr>
        <w:spacing w:before="240"/>
        <w:jc w:val="center"/>
        <w:rPr>
          <w:rFonts w:ascii="Palatino Linotype" w:hAnsi="Palatino Linotype"/>
          <w:b/>
        </w:rPr>
      </w:pPr>
      <w:r w:rsidRPr="00A97393">
        <w:rPr>
          <w:rFonts w:ascii="Palatino Linotype" w:hAnsi="Palatino Linotype"/>
          <w:b/>
        </w:rPr>
        <w:lastRenderedPageBreak/>
        <w:t>TABELLA DEI COEFFICIENTI</w:t>
      </w:r>
    </w:p>
    <w:p w14:paraId="0D535E20" w14:textId="5ABBA3C6" w:rsidR="001530ED" w:rsidRDefault="001530ED" w:rsidP="00A97393">
      <w:pPr>
        <w:spacing w:after="0"/>
        <w:rPr>
          <w:rFonts w:ascii="Palatino Linotype" w:hAnsi="Palatino Linotype"/>
        </w:rPr>
      </w:pPr>
      <w:r w:rsidRPr="001530ED">
        <w:rPr>
          <w:rFonts w:ascii="Palatino Linotype" w:hAnsi="Palatino Linotype"/>
        </w:rPr>
        <w:t xml:space="preserve">Ai canoni determinati secondo </w:t>
      </w:r>
      <w:hyperlink r:id="rId10" w:history="1">
        <w:r w:rsidRPr="00F452B1">
          <w:rPr>
            <w:rStyle w:val="Collegamentoipertestuale"/>
            <w:rFonts w:ascii="Palatino Linotype" w:hAnsi="Palatino Linotype"/>
          </w:rPr>
          <w:t xml:space="preserve">l’art. 1 commi </w:t>
        </w:r>
        <w:r w:rsidR="00D40D77" w:rsidRPr="00F452B1">
          <w:rPr>
            <w:rStyle w:val="Collegamentoipertestuale"/>
            <w:rFonts w:ascii="Palatino Linotype" w:hAnsi="Palatino Linotype"/>
          </w:rPr>
          <w:t>841</w:t>
        </w:r>
        <w:r w:rsidRPr="00F452B1">
          <w:rPr>
            <w:rStyle w:val="Collegamentoipertestuale"/>
            <w:rFonts w:ascii="Palatino Linotype" w:hAnsi="Palatino Linotype"/>
          </w:rPr>
          <w:t xml:space="preserve"> e 8</w:t>
        </w:r>
        <w:r w:rsidR="00D40D77" w:rsidRPr="00F452B1">
          <w:rPr>
            <w:rStyle w:val="Collegamentoipertestuale"/>
            <w:rFonts w:ascii="Palatino Linotype" w:hAnsi="Palatino Linotype"/>
          </w:rPr>
          <w:t>42</w:t>
        </w:r>
        <w:r w:rsidR="002A399F" w:rsidRPr="00F452B1">
          <w:rPr>
            <w:rStyle w:val="Collegamentoipertestuale"/>
            <w:rFonts w:ascii="Palatino Linotype" w:hAnsi="Palatino Linotype"/>
          </w:rPr>
          <w:t>,</w:t>
        </w:r>
        <w:r w:rsidR="00A97393" w:rsidRPr="00F452B1">
          <w:rPr>
            <w:rStyle w:val="Collegamentoipertestuale"/>
            <w:rFonts w:ascii="Palatino Linotype" w:hAnsi="Palatino Linotype"/>
          </w:rPr>
          <w:t xml:space="preserve"> fermo restante quanto disposto dall’art. 1 comma 817 della L.160/2019</w:t>
        </w:r>
      </w:hyperlink>
      <w:r w:rsidR="00A97393">
        <w:rPr>
          <w:rFonts w:ascii="Palatino Linotype" w:hAnsi="Palatino Linotype"/>
        </w:rPr>
        <w:t xml:space="preserve">, </w:t>
      </w:r>
      <w:r w:rsidR="002A399F">
        <w:rPr>
          <w:rFonts w:ascii="Palatino Linotype" w:hAnsi="Palatino Linotype"/>
        </w:rPr>
        <w:t xml:space="preserve">si applicano i coefficienti </w:t>
      </w:r>
      <w:r w:rsidRPr="001530ED">
        <w:rPr>
          <w:rFonts w:ascii="Palatino Linotype" w:hAnsi="Palatino Linotype"/>
        </w:rPr>
        <w:t>moltiplicatori</w:t>
      </w:r>
      <w:r w:rsidR="002A399F">
        <w:rPr>
          <w:rFonts w:ascii="Palatino Linotype" w:hAnsi="Palatino Linotype"/>
        </w:rPr>
        <w:t xml:space="preserve"> </w:t>
      </w:r>
      <w:r w:rsidR="00A97393">
        <w:rPr>
          <w:rFonts w:ascii="Palatino Linotype" w:hAnsi="Palatino Linotype"/>
        </w:rPr>
        <w:t>di seguito riportati:</w:t>
      </w: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992"/>
        <w:gridCol w:w="1134"/>
      </w:tblGrid>
      <w:tr w:rsidR="00CE5D59" w:rsidRPr="00CE5D59" w14:paraId="61AEAF4D" w14:textId="77777777" w:rsidTr="00EC169D">
        <w:trPr>
          <w:trHeight w:val="600"/>
        </w:trPr>
        <w:tc>
          <w:tcPr>
            <w:tcW w:w="7230" w:type="dxa"/>
            <w:shd w:val="pct50" w:color="auto" w:fill="auto"/>
            <w:vAlign w:val="center"/>
            <w:hideMark/>
          </w:tcPr>
          <w:p w14:paraId="524EBA9B" w14:textId="77777777" w:rsidR="00CE5D59" w:rsidRPr="00EC169D" w:rsidRDefault="00CE5D59" w:rsidP="00EC169D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  <w:b/>
              </w:rPr>
            </w:pPr>
            <w:r w:rsidRPr="00EC169D">
              <w:rPr>
                <w:rFonts w:ascii="Palatino Linotype" w:hAnsi="Palatino Linotype"/>
                <w:b/>
              </w:rPr>
              <w:t>DESCRIZIONE</w:t>
            </w:r>
          </w:p>
        </w:tc>
        <w:tc>
          <w:tcPr>
            <w:tcW w:w="992" w:type="dxa"/>
            <w:shd w:val="pct50" w:color="auto" w:fill="auto"/>
            <w:vAlign w:val="center"/>
            <w:hideMark/>
          </w:tcPr>
          <w:p w14:paraId="3159A300" w14:textId="77777777" w:rsidR="00CE5D59" w:rsidRPr="00EC169D" w:rsidRDefault="00CE5D59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EC169D">
              <w:rPr>
                <w:rFonts w:ascii="Palatino Linotype" w:hAnsi="Palatino Linotype"/>
                <w:b/>
              </w:rPr>
              <w:t>COEFF. PERM.</w:t>
            </w:r>
          </w:p>
        </w:tc>
        <w:tc>
          <w:tcPr>
            <w:tcW w:w="1134" w:type="dxa"/>
            <w:shd w:val="pct50" w:color="auto" w:fill="auto"/>
            <w:vAlign w:val="center"/>
            <w:hideMark/>
          </w:tcPr>
          <w:p w14:paraId="56CF16E8" w14:textId="77777777" w:rsidR="00CE5D59" w:rsidRPr="00EC169D" w:rsidRDefault="00CE5D59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  <w:b/>
              </w:rPr>
            </w:pPr>
            <w:r w:rsidRPr="00EC169D">
              <w:rPr>
                <w:rFonts w:ascii="Palatino Linotype" w:hAnsi="Palatino Linotype"/>
                <w:b/>
              </w:rPr>
              <w:t>COEFF. TEMP.</w:t>
            </w:r>
          </w:p>
        </w:tc>
      </w:tr>
      <w:tr w:rsidR="00CE5D59" w:rsidRPr="00CE5D59" w14:paraId="3CE99B78" w14:textId="77777777" w:rsidTr="00EC169D">
        <w:trPr>
          <w:trHeight w:val="600"/>
        </w:trPr>
        <w:tc>
          <w:tcPr>
            <w:tcW w:w="7230" w:type="dxa"/>
            <w:hideMark/>
          </w:tcPr>
          <w:p w14:paraId="058801D4" w14:textId="77777777" w:rsidR="00CE5D59" w:rsidRPr="00CE5D59" w:rsidRDefault="00021C1B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Tutte le </w:t>
            </w:r>
            <w:r w:rsidR="00CE5D59" w:rsidRPr="00CE5D59">
              <w:rPr>
                <w:rFonts w:ascii="Palatino Linotype" w:hAnsi="Palatino Linotype"/>
              </w:rPr>
              <w:t xml:space="preserve">Categorie merceologiche </w:t>
            </w:r>
            <w:r>
              <w:rPr>
                <w:rFonts w:ascii="Palatino Linotype" w:hAnsi="Palatino Linotype"/>
              </w:rPr>
              <w:t>(ad eccezione “</w:t>
            </w:r>
            <w:r w:rsidRPr="00021C1B">
              <w:rPr>
                <w:rFonts w:ascii="Palatino Linotype" w:hAnsi="Palatino Linotype"/>
                <w:i/>
              </w:rPr>
              <w:t>Generi Alimentari – Piante e Fiori</w:t>
            </w:r>
            <w:r>
              <w:rPr>
                <w:rFonts w:ascii="Palatino Linotype" w:hAnsi="Palatino Linotype"/>
              </w:rPr>
              <w:t>”)</w:t>
            </w:r>
          </w:p>
        </w:tc>
        <w:tc>
          <w:tcPr>
            <w:tcW w:w="992" w:type="dxa"/>
            <w:hideMark/>
          </w:tcPr>
          <w:p w14:paraId="4DBAE839" w14:textId="77777777" w:rsidR="00CE5D59" w:rsidRPr="009E2C53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  <w:i/>
              </w:rPr>
            </w:pPr>
            <w:r w:rsidRPr="009E2C53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  <w:tc>
          <w:tcPr>
            <w:tcW w:w="1134" w:type="dxa"/>
            <w:hideMark/>
          </w:tcPr>
          <w:p w14:paraId="166BB41E" w14:textId="77777777" w:rsidR="00CE5D59" w:rsidRPr="00CE5D59" w:rsidRDefault="00CE5D59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</w:tr>
      <w:tr w:rsidR="00CE5D59" w:rsidRPr="00CE5D59" w14:paraId="1541E82B" w14:textId="77777777" w:rsidTr="00EC169D">
        <w:trPr>
          <w:trHeight w:val="300"/>
        </w:trPr>
        <w:tc>
          <w:tcPr>
            <w:tcW w:w="7230" w:type="dxa"/>
            <w:hideMark/>
          </w:tcPr>
          <w:p w14:paraId="68FE29C0" w14:textId="77777777" w:rsidR="00CE5D59" w:rsidRPr="00CE5D59" w:rsidRDefault="00CE5D59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Generi Alimentari – Piante e Fiori</w:t>
            </w:r>
          </w:p>
        </w:tc>
        <w:tc>
          <w:tcPr>
            <w:tcW w:w="992" w:type="dxa"/>
            <w:hideMark/>
          </w:tcPr>
          <w:p w14:paraId="79949ED0" w14:textId="77777777" w:rsidR="00CE5D59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  <w:r w:rsidRPr="009E2C53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  <w:tc>
          <w:tcPr>
            <w:tcW w:w="1134" w:type="dxa"/>
            <w:hideMark/>
          </w:tcPr>
          <w:p w14:paraId="559D7943" w14:textId="77777777" w:rsidR="00CE5D59" w:rsidRPr="00CE5D59" w:rsidRDefault="00CE5D59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</w:tr>
      <w:tr w:rsidR="009E2C53" w:rsidRPr="00CE5D59" w14:paraId="41F811F4" w14:textId="77777777" w:rsidTr="00EC169D">
        <w:trPr>
          <w:trHeight w:val="900"/>
        </w:trPr>
        <w:tc>
          <w:tcPr>
            <w:tcW w:w="7230" w:type="dxa"/>
            <w:hideMark/>
          </w:tcPr>
          <w:p w14:paraId="1C747185" w14:textId="77777777" w:rsidR="009E2C53" w:rsidRDefault="009E2C53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Tutte le </w:t>
            </w:r>
            <w:r w:rsidRPr="00CE5D59">
              <w:rPr>
                <w:rFonts w:ascii="Palatino Linotype" w:hAnsi="Palatino Linotype"/>
              </w:rPr>
              <w:t xml:space="preserve">Categorie merceologiche </w:t>
            </w:r>
            <w:r>
              <w:rPr>
                <w:rFonts w:ascii="Palatino Linotype" w:hAnsi="Palatino Linotype"/>
              </w:rPr>
              <w:t>(ad eccezione “</w:t>
            </w:r>
            <w:r w:rsidRPr="00021C1B">
              <w:rPr>
                <w:rFonts w:ascii="Palatino Linotype" w:hAnsi="Palatino Linotype"/>
                <w:i/>
              </w:rPr>
              <w:t>Generi Alimentari – Piante e Fiori</w:t>
            </w:r>
            <w:r>
              <w:rPr>
                <w:rFonts w:ascii="Palatino Linotype" w:hAnsi="Palatino Linotype"/>
              </w:rPr>
              <w:t>”)</w:t>
            </w:r>
          </w:p>
          <w:p w14:paraId="3A33C220" w14:textId="77777777" w:rsidR="009E2C53" w:rsidRPr="00CE5D59" w:rsidRDefault="009E2C53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OCCUPAZIONI REALIZZATE IN MERCATI FINO A 3 ORE</w:t>
            </w:r>
            <w:r>
              <w:rPr>
                <w:rFonts w:ascii="Palatino Linotype" w:hAnsi="Palatino Linotype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6EAB120D" w14:textId="77777777" w:rsidR="009E2C53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  <w:noWrap/>
            <w:hideMark/>
          </w:tcPr>
          <w:p w14:paraId="33E0610D" w14:textId="77777777" w:rsidR="009E2C53" w:rsidRDefault="009E2C53">
            <w:r w:rsidRPr="00B64388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</w:tr>
      <w:tr w:rsidR="009E2C53" w:rsidRPr="00CE5D59" w14:paraId="539FD4EA" w14:textId="77777777" w:rsidTr="00EC169D">
        <w:trPr>
          <w:trHeight w:val="600"/>
        </w:trPr>
        <w:tc>
          <w:tcPr>
            <w:tcW w:w="7230" w:type="dxa"/>
            <w:hideMark/>
          </w:tcPr>
          <w:p w14:paraId="64D59C7F" w14:textId="77777777" w:rsidR="009E2C53" w:rsidRDefault="009E2C53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 xml:space="preserve">Generi </w:t>
            </w:r>
            <w:r>
              <w:rPr>
                <w:rFonts w:ascii="Palatino Linotype" w:hAnsi="Palatino Linotype"/>
              </w:rPr>
              <w:t>Alimentari – Piante e Fiori</w:t>
            </w:r>
          </w:p>
          <w:p w14:paraId="71E1B2B0" w14:textId="77777777" w:rsidR="009E2C53" w:rsidRPr="00CE5D59" w:rsidRDefault="009E2C53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OCCUPAZIONI REALIZZATE IN MERCATI FINO A 3 ORE</w:t>
            </w:r>
            <w:r>
              <w:rPr>
                <w:rFonts w:ascii="Palatino Linotype" w:hAnsi="Palatino Linotype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7A91021F" w14:textId="77777777" w:rsidR="009E2C53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  <w:noWrap/>
            <w:hideMark/>
          </w:tcPr>
          <w:p w14:paraId="280B4697" w14:textId="77777777" w:rsidR="009E2C53" w:rsidRDefault="009E2C53">
            <w:r w:rsidRPr="00B64388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</w:tr>
      <w:tr w:rsidR="009E2C53" w:rsidRPr="00CE5D59" w14:paraId="68D01A7E" w14:textId="77777777" w:rsidTr="00EC169D">
        <w:trPr>
          <w:trHeight w:val="900"/>
        </w:trPr>
        <w:tc>
          <w:tcPr>
            <w:tcW w:w="7230" w:type="dxa"/>
            <w:hideMark/>
          </w:tcPr>
          <w:p w14:paraId="35B7E87B" w14:textId="77777777" w:rsidR="009E2C53" w:rsidRDefault="009E2C53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Tutte le </w:t>
            </w:r>
            <w:r w:rsidRPr="00CE5D59">
              <w:rPr>
                <w:rFonts w:ascii="Palatino Linotype" w:hAnsi="Palatino Linotype"/>
              </w:rPr>
              <w:t xml:space="preserve">Categorie merceologiche </w:t>
            </w:r>
            <w:r>
              <w:rPr>
                <w:rFonts w:ascii="Palatino Linotype" w:hAnsi="Palatino Linotype"/>
              </w:rPr>
              <w:t>(ad eccezione “</w:t>
            </w:r>
            <w:r w:rsidRPr="00021C1B">
              <w:rPr>
                <w:rFonts w:ascii="Palatino Linotype" w:hAnsi="Palatino Linotype"/>
                <w:i/>
              </w:rPr>
              <w:t>Generi Alimentari – Piante e Fiori</w:t>
            </w:r>
            <w:r>
              <w:rPr>
                <w:rFonts w:ascii="Palatino Linotype" w:hAnsi="Palatino Linotype"/>
              </w:rPr>
              <w:t>”)</w:t>
            </w:r>
          </w:p>
          <w:p w14:paraId="6B5E777F" w14:textId="77777777" w:rsidR="009E2C53" w:rsidRPr="00CE5D59" w:rsidRDefault="009E2C53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OCCUPAZIONI REALIZZATE IN MERCATI FINO A 7 ORE</w:t>
            </w:r>
            <w:r>
              <w:rPr>
                <w:rFonts w:ascii="Palatino Linotype" w:hAnsi="Palatino Linotype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221B218C" w14:textId="77777777" w:rsidR="009E2C53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  <w:noWrap/>
            <w:hideMark/>
          </w:tcPr>
          <w:p w14:paraId="05E2CC9B" w14:textId="77777777" w:rsidR="009E2C53" w:rsidRDefault="009E2C53">
            <w:r w:rsidRPr="00B64388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</w:tr>
      <w:tr w:rsidR="009E2C53" w:rsidRPr="00CE5D59" w14:paraId="6DD6FF39" w14:textId="77777777" w:rsidTr="00EC169D">
        <w:trPr>
          <w:trHeight w:val="600"/>
        </w:trPr>
        <w:tc>
          <w:tcPr>
            <w:tcW w:w="7230" w:type="dxa"/>
            <w:hideMark/>
          </w:tcPr>
          <w:p w14:paraId="129538DB" w14:textId="77777777" w:rsidR="009E2C53" w:rsidRDefault="009E2C53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Generi Alimentari – Piante e Fiori</w:t>
            </w:r>
          </w:p>
          <w:p w14:paraId="01B2DE50" w14:textId="77777777" w:rsidR="009E2C53" w:rsidRPr="00CE5D59" w:rsidRDefault="009E2C53" w:rsidP="00021C1B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OCCUPAZIONI REALIZZATE IN MERCATI FINO A 7 ORE</w:t>
            </w:r>
            <w:r>
              <w:rPr>
                <w:rFonts w:ascii="Palatino Linotype" w:hAnsi="Palatino Linotype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60751BE" w14:textId="77777777" w:rsidR="009E2C53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  <w:noWrap/>
            <w:hideMark/>
          </w:tcPr>
          <w:p w14:paraId="21D7C616" w14:textId="77777777" w:rsidR="009E2C53" w:rsidRDefault="009E2C53">
            <w:r w:rsidRPr="00B64388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</w:tr>
      <w:tr w:rsidR="009E2C53" w:rsidRPr="00CE5D59" w14:paraId="3B889805" w14:textId="77777777" w:rsidTr="00EC169D">
        <w:trPr>
          <w:trHeight w:val="900"/>
        </w:trPr>
        <w:tc>
          <w:tcPr>
            <w:tcW w:w="7230" w:type="dxa"/>
            <w:hideMark/>
          </w:tcPr>
          <w:p w14:paraId="6C0A279D" w14:textId="77777777" w:rsidR="009E2C53" w:rsidRDefault="009E2C53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</w:rPr>
              <w:t xml:space="preserve">Tutte le </w:t>
            </w:r>
            <w:r w:rsidRPr="00CE5D59">
              <w:rPr>
                <w:rFonts w:ascii="Palatino Linotype" w:hAnsi="Palatino Linotype"/>
              </w:rPr>
              <w:t xml:space="preserve">Categorie merceologiche </w:t>
            </w:r>
            <w:r>
              <w:rPr>
                <w:rFonts w:ascii="Palatino Linotype" w:hAnsi="Palatino Linotype"/>
              </w:rPr>
              <w:t>(ad eccezione “</w:t>
            </w:r>
            <w:r w:rsidRPr="00021C1B">
              <w:rPr>
                <w:rFonts w:ascii="Palatino Linotype" w:hAnsi="Palatino Linotype"/>
                <w:i/>
              </w:rPr>
              <w:t>Generi Alimentari – Piante e Fiori</w:t>
            </w:r>
            <w:r>
              <w:rPr>
                <w:rFonts w:ascii="Palatino Linotype" w:hAnsi="Palatino Linotype"/>
              </w:rPr>
              <w:t>”)</w:t>
            </w:r>
          </w:p>
          <w:p w14:paraId="5C9EA041" w14:textId="77777777" w:rsidR="009E2C53" w:rsidRPr="00CE5D59" w:rsidRDefault="009E2C53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OCCUPAZIONI REALIZZATE IN MERCATI FINO A 9 ORE</w:t>
            </w:r>
            <w:r>
              <w:rPr>
                <w:rFonts w:ascii="Palatino Linotype" w:hAnsi="Palatino Linotype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C76BEF2" w14:textId="77777777" w:rsidR="009E2C53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  <w:noWrap/>
            <w:hideMark/>
          </w:tcPr>
          <w:p w14:paraId="028821E2" w14:textId="77777777" w:rsidR="009E2C53" w:rsidRDefault="009E2C53">
            <w:r w:rsidRPr="00B64388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</w:tr>
      <w:tr w:rsidR="009E2C53" w:rsidRPr="00CE5D59" w14:paraId="5A6038C7" w14:textId="77777777" w:rsidTr="00EC169D">
        <w:trPr>
          <w:trHeight w:val="600"/>
        </w:trPr>
        <w:tc>
          <w:tcPr>
            <w:tcW w:w="7230" w:type="dxa"/>
            <w:hideMark/>
          </w:tcPr>
          <w:p w14:paraId="023CC526" w14:textId="77777777" w:rsidR="009E2C53" w:rsidRDefault="009E2C53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 xml:space="preserve">Generi </w:t>
            </w:r>
            <w:r>
              <w:rPr>
                <w:rFonts w:ascii="Palatino Linotype" w:hAnsi="Palatino Linotype"/>
              </w:rPr>
              <w:t>Alimentari – Piante e Fiori</w:t>
            </w:r>
          </w:p>
          <w:p w14:paraId="7063F84D" w14:textId="77777777" w:rsidR="009E2C53" w:rsidRPr="00CE5D59" w:rsidRDefault="009E2C53" w:rsidP="00CE5D59">
            <w:pPr>
              <w:tabs>
                <w:tab w:val="left" w:pos="5333"/>
              </w:tabs>
              <w:spacing w:before="120"/>
              <w:rPr>
                <w:rFonts w:ascii="Palatino Linotype" w:hAnsi="Palatino Linotype"/>
              </w:rPr>
            </w:pPr>
            <w:r w:rsidRPr="00CE5D59">
              <w:rPr>
                <w:rFonts w:ascii="Palatino Linotype" w:hAnsi="Palatino Linotype"/>
              </w:rPr>
              <w:t>OCCUPAZIONI REALIZZATE IN MERCATI FINO A 9 ORE</w:t>
            </w:r>
            <w:r>
              <w:rPr>
                <w:rFonts w:ascii="Palatino Linotype" w:hAnsi="Palatino Linotype"/>
              </w:rPr>
              <w:t>*</w:t>
            </w:r>
          </w:p>
        </w:tc>
        <w:tc>
          <w:tcPr>
            <w:tcW w:w="992" w:type="dxa"/>
            <w:noWrap/>
            <w:hideMark/>
          </w:tcPr>
          <w:p w14:paraId="46399657" w14:textId="77777777" w:rsidR="009E2C53" w:rsidRPr="00CE5D59" w:rsidRDefault="009E2C53" w:rsidP="00EC169D">
            <w:pPr>
              <w:tabs>
                <w:tab w:val="left" w:pos="5333"/>
              </w:tabs>
              <w:spacing w:before="120"/>
              <w:jc w:val="center"/>
              <w:rPr>
                <w:rFonts w:ascii="Palatino Linotype" w:hAnsi="Palatino Linotype"/>
              </w:rPr>
            </w:pPr>
          </w:p>
        </w:tc>
        <w:tc>
          <w:tcPr>
            <w:tcW w:w="1134" w:type="dxa"/>
            <w:noWrap/>
            <w:hideMark/>
          </w:tcPr>
          <w:p w14:paraId="2A495575" w14:textId="77777777" w:rsidR="009E2C53" w:rsidRDefault="009E2C53">
            <w:r w:rsidRPr="00B64388">
              <w:rPr>
                <w:rFonts w:ascii="Palatino Linotype" w:hAnsi="Palatino Linotype"/>
                <w:i/>
                <w:color w:val="FF0000"/>
              </w:rPr>
              <w:t>NN</w:t>
            </w:r>
          </w:p>
        </w:tc>
      </w:tr>
    </w:tbl>
    <w:p w14:paraId="386F0AE0" w14:textId="77777777" w:rsidR="005272FA" w:rsidRDefault="005272FA" w:rsidP="00A97393">
      <w:pPr>
        <w:tabs>
          <w:tab w:val="left" w:pos="5333"/>
        </w:tabs>
        <w:spacing w:before="120" w:after="0"/>
        <w:rPr>
          <w:rFonts w:ascii="Palatino Linotype" w:hAnsi="Palatino Linotype"/>
        </w:rPr>
      </w:pPr>
    </w:p>
    <w:p w14:paraId="17011263" w14:textId="77777777" w:rsidR="007F0DE2" w:rsidRPr="005272FA" w:rsidRDefault="005272FA" w:rsidP="00A97393">
      <w:pPr>
        <w:tabs>
          <w:tab w:val="left" w:pos="5333"/>
        </w:tabs>
        <w:spacing w:before="120" w:after="0"/>
        <w:rPr>
          <w:rFonts w:ascii="Palatino Linotype" w:hAnsi="Palatino Linotype"/>
          <w:i/>
        </w:rPr>
      </w:pPr>
      <w:r w:rsidRPr="005272FA">
        <w:rPr>
          <w:rFonts w:ascii="Palatino Linotype" w:hAnsi="Palatino Linotype"/>
          <w:i/>
        </w:rPr>
        <w:t>* per le occupazioni nei mercati che si svolgono con carattere ricorrente e con cadenza settimanale</w:t>
      </w:r>
      <w:r>
        <w:rPr>
          <w:rFonts w:ascii="Palatino Linotype" w:hAnsi="Palatino Linotype"/>
          <w:i/>
        </w:rPr>
        <w:t xml:space="preserve"> è applicata una</w:t>
      </w:r>
      <w:r w:rsidRPr="005272FA">
        <w:rPr>
          <w:rFonts w:ascii="Palatino Linotype" w:hAnsi="Palatino Linotype"/>
          <w:i/>
        </w:rPr>
        <w:t xml:space="preserve"> riduzione </w:t>
      </w:r>
      <w:r w:rsidRPr="009E2C53">
        <w:rPr>
          <w:rFonts w:ascii="Palatino Linotype" w:hAnsi="Palatino Linotype"/>
          <w:i/>
          <w:color w:val="FF0000"/>
        </w:rPr>
        <w:t xml:space="preserve">pari al 30 per </w:t>
      </w:r>
      <w:r w:rsidRPr="005272FA">
        <w:rPr>
          <w:rFonts w:ascii="Palatino Linotype" w:hAnsi="Palatino Linotype"/>
          <w:i/>
        </w:rPr>
        <w:t>cento sul canone.</w:t>
      </w:r>
    </w:p>
    <w:sectPr w:rsidR="007F0DE2" w:rsidRPr="005272FA" w:rsidSect="00A97393">
      <w:headerReference w:type="default" r:id="rId11"/>
      <w:footerReference w:type="default" r:id="rId12"/>
      <w:pgSz w:w="11906" w:h="16838"/>
      <w:pgMar w:top="1417" w:right="1134" w:bottom="1134" w:left="1134" w:header="62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EB4E98" w14:textId="77777777" w:rsidR="00A649A0" w:rsidRDefault="00A649A0" w:rsidP="00A97393">
      <w:pPr>
        <w:spacing w:after="0" w:line="240" w:lineRule="auto"/>
      </w:pPr>
      <w:r>
        <w:separator/>
      </w:r>
    </w:p>
  </w:endnote>
  <w:endnote w:type="continuationSeparator" w:id="0">
    <w:p w14:paraId="03686CB7" w14:textId="77777777" w:rsidR="00A649A0" w:rsidRDefault="00A649A0" w:rsidP="00A97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58D55" w14:textId="77777777" w:rsidR="00E01530" w:rsidRPr="00E01530" w:rsidRDefault="00E01530" w:rsidP="00E01530">
    <w:pPr>
      <w:pStyle w:val="Pidipagina"/>
      <w:pBdr>
        <w:top w:val="thinThickSmallGap" w:sz="24" w:space="1" w:color="622423" w:themeColor="accent2" w:themeShade="7F"/>
      </w:pBdr>
      <w:jc w:val="both"/>
      <w:rPr>
        <w:rFonts w:ascii="Palatino Linotype" w:eastAsiaTheme="majorEastAsia" w:hAnsi="Palatino Linotype" w:cstheme="majorBidi"/>
        <w:sz w:val="16"/>
        <w:szCs w:val="16"/>
      </w:rPr>
    </w:pPr>
    <w:r>
      <w:rPr>
        <w:rFonts w:ascii="Palatino Linotype" w:eastAsiaTheme="majorEastAsia" w:hAnsi="Palatino Linotype" w:cstheme="majorBidi"/>
        <w:sz w:val="16"/>
        <w:szCs w:val="16"/>
      </w:rPr>
      <w:t xml:space="preserve">ALLEGATO A - </w:t>
    </w:r>
    <w:r w:rsidRPr="00E01530">
      <w:rPr>
        <w:rFonts w:ascii="Palatino Linotype" w:eastAsiaTheme="majorEastAsia" w:hAnsi="Palatino Linotype" w:cstheme="majorBidi"/>
        <w:sz w:val="16"/>
        <w:szCs w:val="16"/>
      </w:rPr>
      <w:t>CANONE PATRIMONIALE DI CONCESSIONE, AUTORIZZAZIONE O ESPOSIZIONE PUBBLICITAR</w:t>
    </w:r>
    <w:r w:rsidR="003844BD">
      <w:rPr>
        <w:rFonts w:ascii="Palatino Linotype" w:eastAsiaTheme="majorEastAsia" w:hAnsi="Palatino Linotype" w:cstheme="majorBidi"/>
        <w:sz w:val="16"/>
        <w:szCs w:val="16"/>
      </w:rPr>
      <w:t xml:space="preserve">IA (CANONE UNICO) – </w:t>
    </w:r>
    <w:r w:rsidRPr="00E01530">
      <w:rPr>
        <w:rFonts w:ascii="Palatino Linotype" w:eastAsiaTheme="majorEastAsia" w:hAnsi="Palatino Linotype" w:cstheme="majorBidi"/>
        <w:sz w:val="16"/>
        <w:szCs w:val="16"/>
      </w:rPr>
      <w:t>TARIFFE ANNO 2021.</w:t>
    </w:r>
    <w:r w:rsidRPr="00E01530">
      <w:rPr>
        <w:rFonts w:ascii="Palatino Linotype" w:eastAsiaTheme="majorEastAsia" w:hAnsi="Palatino Linotype" w:cstheme="majorBidi"/>
        <w:sz w:val="16"/>
        <w:szCs w:val="16"/>
      </w:rPr>
      <w:ptab w:relativeTo="margin" w:alignment="right" w:leader="none"/>
    </w:r>
    <w:r w:rsidRPr="00E01530">
      <w:rPr>
        <w:rFonts w:ascii="Palatino Linotype" w:eastAsiaTheme="majorEastAsia" w:hAnsi="Palatino Linotype" w:cstheme="majorBidi"/>
        <w:sz w:val="16"/>
        <w:szCs w:val="16"/>
      </w:rPr>
      <w:t xml:space="preserve">Pag. </w:t>
    </w:r>
    <w:r w:rsidRPr="00E01530">
      <w:rPr>
        <w:rFonts w:ascii="Palatino Linotype" w:eastAsiaTheme="minorEastAsia" w:hAnsi="Palatino Linotype"/>
        <w:sz w:val="16"/>
        <w:szCs w:val="16"/>
      </w:rPr>
      <w:fldChar w:fldCharType="begin"/>
    </w:r>
    <w:r w:rsidRPr="00E01530">
      <w:rPr>
        <w:rFonts w:ascii="Palatino Linotype" w:hAnsi="Palatino Linotype"/>
        <w:sz w:val="16"/>
        <w:szCs w:val="16"/>
      </w:rPr>
      <w:instrText>PAGE   \* MERGEFORMAT</w:instrText>
    </w:r>
    <w:r w:rsidRPr="00E01530">
      <w:rPr>
        <w:rFonts w:ascii="Palatino Linotype" w:eastAsiaTheme="minorEastAsia" w:hAnsi="Palatino Linotype"/>
        <w:sz w:val="16"/>
        <w:szCs w:val="16"/>
      </w:rPr>
      <w:fldChar w:fldCharType="separate"/>
    </w:r>
    <w:r w:rsidR="009E2C53" w:rsidRPr="009E2C53">
      <w:rPr>
        <w:rFonts w:ascii="Palatino Linotype" w:eastAsiaTheme="majorEastAsia" w:hAnsi="Palatino Linotype" w:cstheme="majorBidi"/>
        <w:noProof/>
        <w:sz w:val="16"/>
        <w:szCs w:val="16"/>
      </w:rPr>
      <w:t>1</w:t>
    </w:r>
    <w:r w:rsidRPr="00E01530">
      <w:rPr>
        <w:rFonts w:ascii="Palatino Linotype" w:eastAsiaTheme="majorEastAsia" w:hAnsi="Palatino Linotype" w:cstheme="majorBidi"/>
        <w:sz w:val="16"/>
        <w:szCs w:val="16"/>
      </w:rPr>
      <w:fldChar w:fldCharType="end"/>
    </w:r>
  </w:p>
  <w:p w14:paraId="061BE8D3" w14:textId="77777777" w:rsidR="00A97393" w:rsidRPr="00A97393" w:rsidRDefault="00A97393" w:rsidP="00A97393">
    <w:pPr>
      <w:pStyle w:val="Pidipagina"/>
      <w:jc w:val="center"/>
      <w:rPr>
        <w:rFonts w:ascii="Palatino Linotype" w:hAnsi="Palatino Linotype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EB80B5" w14:textId="77777777" w:rsidR="00A649A0" w:rsidRDefault="00A649A0" w:rsidP="00A97393">
      <w:pPr>
        <w:spacing w:after="0" w:line="240" w:lineRule="auto"/>
      </w:pPr>
      <w:r>
        <w:separator/>
      </w:r>
    </w:p>
  </w:footnote>
  <w:footnote w:type="continuationSeparator" w:id="0">
    <w:p w14:paraId="514E962B" w14:textId="77777777" w:rsidR="00A649A0" w:rsidRDefault="00A649A0" w:rsidP="00A97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B988FA" w14:textId="4CDEF08B" w:rsidR="00F452B1" w:rsidRDefault="00F452B1" w:rsidP="00F452B1">
    <w:pPr>
      <w:jc w:val="center"/>
    </w:pPr>
    <w:r w:rsidRPr="006C3FC8">
      <w:rPr>
        <w:noProof/>
      </w:rPr>
      <w:drawing>
        <wp:inline distT="0" distB="0" distL="0" distR="0" wp14:anchorId="62C51923" wp14:editId="3E6240E3">
          <wp:extent cx="1727860" cy="457883"/>
          <wp:effectExtent l="0" t="0" r="5715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76F2436" w14:textId="77777777" w:rsidR="00F452B1" w:rsidRDefault="00F452B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66AD8"/>
    <w:multiLevelType w:val="hybridMultilevel"/>
    <w:tmpl w:val="F1E8EC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51B12"/>
    <w:multiLevelType w:val="hybridMultilevel"/>
    <w:tmpl w:val="4BA4281E"/>
    <w:lvl w:ilvl="0" w:tplc="7B62CB1C">
      <w:start w:val="1"/>
      <w:numFmt w:val="decimal"/>
      <w:lvlText w:val="%1."/>
      <w:lvlJc w:val="left"/>
      <w:pPr>
        <w:ind w:left="454" w:firstLine="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DC59D6"/>
    <w:multiLevelType w:val="hybridMultilevel"/>
    <w:tmpl w:val="64769F26"/>
    <w:lvl w:ilvl="0" w:tplc="04100017">
      <w:start w:val="1"/>
      <w:numFmt w:val="lowerLetter"/>
      <w:lvlText w:val="%1)"/>
      <w:lvlJc w:val="left"/>
      <w:pPr>
        <w:ind w:left="773" w:hanging="360"/>
      </w:pPr>
    </w:lvl>
    <w:lvl w:ilvl="1" w:tplc="04100019" w:tentative="1">
      <w:start w:val="1"/>
      <w:numFmt w:val="lowerLetter"/>
      <w:lvlText w:val="%2."/>
      <w:lvlJc w:val="left"/>
      <w:pPr>
        <w:ind w:left="1493" w:hanging="360"/>
      </w:pPr>
    </w:lvl>
    <w:lvl w:ilvl="2" w:tplc="0410001B" w:tentative="1">
      <w:start w:val="1"/>
      <w:numFmt w:val="lowerRoman"/>
      <w:lvlText w:val="%3."/>
      <w:lvlJc w:val="right"/>
      <w:pPr>
        <w:ind w:left="2213" w:hanging="180"/>
      </w:pPr>
    </w:lvl>
    <w:lvl w:ilvl="3" w:tplc="0410000F" w:tentative="1">
      <w:start w:val="1"/>
      <w:numFmt w:val="decimal"/>
      <w:lvlText w:val="%4."/>
      <w:lvlJc w:val="left"/>
      <w:pPr>
        <w:ind w:left="2933" w:hanging="360"/>
      </w:pPr>
    </w:lvl>
    <w:lvl w:ilvl="4" w:tplc="04100019" w:tentative="1">
      <w:start w:val="1"/>
      <w:numFmt w:val="lowerLetter"/>
      <w:lvlText w:val="%5."/>
      <w:lvlJc w:val="left"/>
      <w:pPr>
        <w:ind w:left="3653" w:hanging="360"/>
      </w:pPr>
    </w:lvl>
    <w:lvl w:ilvl="5" w:tplc="0410001B" w:tentative="1">
      <w:start w:val="1"/>
      <w:numFmt w:val="lowerRoman"/>
      <w:lvlText w:val="%6."/>
      <w:lvlJc w:val="right"/>
      <w:pPr>
        <w:ind w:left="4373" w:hanging="180"/>
      </w:pPr>
    </w:lvl>
    <w:lvl w:ilvl="6" w:tplc="0410000F" w:tentative="1">
      <w:start w:val="1"/>
      <w:numFmt w:val="decimal"/>
      <w:lvlText w:val="%7."/>
      <w:lvlJc w:val="left"/>
      <w:pPr>
        <w:ind w:left="5093" w:hanging="360"/>
      </w:pPr>
    </w:lvl>
    <w:lvl w:ilvl="7" w:tplc="04100019" w:tentative="1">
      <w:start w:val="1"/>
      <w:numFmt w:val="lowerLetter"/>
      <w:lvlText w:val="%8."/>
      <w:lvlJc w:val="left"/>
      <w:pPr>
        <w:ind w:left="5813" w:hanging="360"/>
      </w:pPr>
    </w:lvl>
    <w:lvl w:ilvl="8" w:tplc="0410001B" w:tentative="1">
      <w:start w:val="1"/>
      <w:numFmt w:val="lowerRoman"/>
      <w:lvlText w:val="%9."/>
      <w:lvlJc w:val="right"/>
      <w:pPr>
        <w:ind w:left="6533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A26"/>
    <w:rsid w:val="000162BE"/>
    <w:rsid w:val="00021C1B"/>
    <w:rsid w:val="00144C2F"/>
    <w:rsid w:val="001530ED"/>
    <w:rsid w:val="00170EAF"/>
    <w:rsid w:val="001F0CD6"/>
    <w:rsid w:val="00285D59"/>
    <w:rsid w:val="002A399F"/>
    <w:rsid w:val="00304A26"/>
    <w:rsid w:val="003844BD"/>
    <w:rsid w:val="003E4AE2"/>
    <w:rsid w:val="00457430"/>
    <w:rsid w:val="004C3EDD"/>
    <w:rsid w:val="00506FA3"/>
    <w:rsid w:val="005272FA"/>
    <w:rsid w:val="005557CA"/>
    <w:rsid w:val="005828F6"/>
    <w:rsid w:val="007334F8"/>
    <w:rsid w:val="00767068"/>
    <w:rsid w:val="007F0DE2"/>
    <w:rsid w:val="008A1436"/>
    <w:rsid w:val="008B3993"/>
    <w:rsid w:val="008F14ED"/>
    <w:rsid w:val="0093477E"/>
    <w:rsid w:val="009E2C53"/>
    <w:rsid w:val="00A45167"/>
    <w:rsid w:val="00A46C3C"/>
    <w:rsid w:val="00A649A0"/>
    <w:rsid w:val="00A97393"/>
    <w:rsid w:val="00AC3058"/>
    <w:rsid w:val="00B25FE7"/>
    <w:rsid w:val="00B461FF"/>
    <w:rsid w:val="00C2092B"/>
    <w:rsid w:val="00CE5D59"/>
    <w:rsid w:val="00D02DED"/>
    <w:rsid w:val="00D13828"/>
    <w:rsid w:val="00D40D77"/>
    <w:rsid w:val="00E01530"/>
    <w:rsid w:val="00EC169D"/>
    <w:rsid w:val="00F40710"/>
    <w:rsid w:val="00F452B1"/>
    <w:rsid w:val="00F6576D"/>
    <w:rsid w:val="00F9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B420AE"/>
  <w15:docId w15:val="{76C9F171-B078-40AC-83D9-5B7F42D40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2DE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5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530E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97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7393"/>
  </w:style>
  <w:style w:type="paragraph" w:styleId="Pidipagina">
    <w:name w:val="footer"/>
    <w:basedOn w:val="Normale"/>
    <w:link w:val="PidipaginaCarattere"/>
    <w:uiPriority w:val="99"/>
    <w:unhideWhenUsed/>
    <w:rsid w:val="00A973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739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73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739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452B1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45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rmattiva.it/uri-res/N2Ls?urn:nir:stato:legge:2019-12-27;160~art1!vi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normattiva.it/uri-res/N2Ls?urn:nir:stato:legge:2019-12-27;160~art1!vi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mattiva.it/uri-res/N2Ls?urn:nir:stato:legge:2019-12-27;160~art1!vi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3DC4E-B7E2-4C85-9CD9-DB661DF65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Soriano</dc:creator>
  <cp:keywords/>
  <dc:description/>
  <cp:lastModifiedBy>utente</cp:lastModifiedBy>
  <cp:revision>2</cp:revision>
  <dcterms:created xsi:type="dcterms:W3CDTF">2021-01-05T09:28:00Z</dcterms:created>
  <dcterms:modified xsi:type="dcterms:W3CDTF">2021-01-05T09:28:00Z</dcterms:modified>
</cp:coreProperties>
</file>