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8E08F" w14:textId="77777777" w:rsidR="005C50FB" w:rsidRDefault="005C50FB" w:rsidP="005C50FB">
      <w:r>
        <w:rPr>
          <w:rFonts w:ascii="Times New Roman" w:hAnsi="Times New Roman" w:cs="Times New Roman"/>
          <w:sz w:val="27"/>
          <w:szCs w:val="27"/>
        </w:rPr>
        <w:t xml:space="preserve">Come anticipato nei precedenti articoli pubblicati in data </w:t>
      </w:r>
      <w:r w:rsidRPr="002C211C">
        <w:rPr>
          <w:rFonts w:ascii="Times New Roman" w:hAnsi="Times New Roman" w:cs="Times New Roman"/>
          <w:sz w:val="27"/>
          <w:szCs w:val="27"/>
          <w:highlight w:val="yellow"/>
        </w:rPr>
        <w:t>17/11/2023 e 24/11/2023</w:t>
      </w:r>
      <w:r>
        <w:rPr>
          <w:rFonts w:ascii="Times New Roman" w:hAnsi="Times New Roman" w:cs="Times New Roman"/>
          <w:sz w:val="27"/>
          <w:szCs w:val="27"/>
        </w:rPr>
        <w:t xml:space="preserve">  </w:t>
      </w:r>
      <w:r w:rsidRPr="002C211C">
        <w:rPr>
          <w:rFonts w:ascii="Times New Roman" w:hAnsi="Times New Roman" w:cs="Times New Roman"/>
          <w:sz w:val="27"/>
          <w:szCs w:val="27"/>
          <w:highlight w:val="yellow"/>
        </w:rPr>
        <w:t>(controlla date e inserisci link)</w:t>
      </w:r>
      <w:r>
        <w:rPr>
          <w:rFonts w:ascii="Times New Roman" w:hAnsi="Times New Roman" w:cs="Times New Roman"/>
          <w:sz w:val="27"/>
          <w:szCs w:val="27"/>
        </w:rPr>
        <w:t xml:space="preserve">, il d.lgs. n. 201/2022 prevede i </w:t>
      </w:r>
      <w:proofErr w:type="spellStart"/>
      <w:r>
        <w:rPr>
          <w:rFonts w:ascii="Times New Roman" w:hAnsi="Times New Roman" w:cs="Times New Roman"/>
          <w:sz w:val="27"/>
          <w:szCs w:val="27"/>
        </w:rPr>
        <w:t>seguienti</w:t>
      </w:r>
      <w:proofErr w:type="spellEnd"/>
      <w:r>
        <w:rPr>
          <w:rFonts w:ascii="Times New Roman" w:hAnsi="Times New Roman" w:cs="Times New Roman"/>
          <w:sz w:val="27"/>
          <w:szCs w:val="27"/>
        </w:rPr>
        <w:t xml:space="preserve"> adempimenti:</w:t>
      </w:r>
    </w:p>
    <w:p w14:paraId="3EEBD74B" w14:textId="77777777" w:rsidR="005C50FB" w:rsidRDefault="005C50FB" w:rsidP="005C50FB"/>
    <w:p w14:paraId="78AF3022" w14:textId="77777777" w:rsidR="005C50FB" w:rsidRDefault="005C50FB" w:rsidP="005C50FB">
      <w:pPr>
        <w:jc w:val="both"/>
      </w:pPr>
      <w:r>
        <w:rPr>
          <w:rFonts w:ascii="Times New Roman" w:hAnsi="Times New Roman" w:cs="Times New Roman"/>
          <w:b/>
          <w:bCs/>
          <w:sz w:val="27"/>
          <w:szCs w:val="27"/>
        </w:rPr>
        <w:t>a)</w:t>
      </w:r>
      <w:r>
        <w:rPr>
          <w:rFonts w:ascii="Times New Roman" w:hAnsi="Times New Roman" w:cs="Times New Roman"/>
          <w:sz w:val="27"/>
          <w:szCs w:val="27"/>
        </w:rPr>
        <w:t xml:space="preserve"> La </w:t>
      </w:r>
      <w:r>
        <w:rPr>
          <w:rFonts w:ascii="Times New Roman" w:hAnsi="Times New Roman" w:cs="Times New Roman"/>
          <w:b/>
          <w:bCs/>
          <w:sz w:val="27"/>
          <w:szCs w:val="27"/>
        </w:rPr>
        <w:t>redazione della Deliberazione (</w:t>
      </w:r>
      <w:r>
        <w:rPr>
          <w:rFonts w:ascii="Times New Roman" w:hAnsi="Times New Roman" w:cs="Times New Roman"/>
          <w:sz w:val="27"/>
          <w:szCs w:val="27"/>
        </w:rPr>
        <w:t>di cui all'</w:t>
      </w:r>
      <w:r>
        <w:rPr>
          <w:rFonts w:ascii="Times New Roman" w:hAnsi="Times New Roman" w:cs="Times New Roman"/>
          <w:b/>
          <w:bCs/>
          <w:sz w:val="27"/>
          <w:szCs w:val="27"/>
        </w:rPr>
        <w:t>articolo 10, comma 5</w:t>
      </w:r>
      <w:r>
        <w:rPr>
          <w:rFonts w:ascii="Times New Roman" w:hAnsi="Times New Roman" w:cs="Times New Roman"/>
          <w:sz w:val="27"/>
          <w:szCs w:val="27"/>
        </w:rPr>
        <w:t xml:space="preserve">) </w:t>
      </w:r>
      <w:r>
        <w:rPr>
          <w:rFonts w:ascii="Times New Roman" w:hAnsi="Times New Roman" w:cs="Times New Roman"/>
          <w:b/>
          <w:bCs/>
          <w:sz w:val="27"/>
          <w:szCs w:val="27"/>
        </w:rPr>
        <w:t>prima della istituzione</w:t>
      </w:r>
      <w:r>
        <w:rPr>
          <w:rFonts w:ascii="Times New Roman" w:hAnsi="Times New Roman" w:cs="Times New Roman"/>
          <w:sz w:val="27"/>
          <w:szCs w:val="27"/>
        </w:rPr>
        <w:t xml:space="preserve"> del servizio pubblico locale, che dia conto degli esiti dell'istruttoria di cui al comma 4 e che </w:t>
      </w:r>
      <w:r>
        <w:rPr>
          <w:rFonts w:ascii="Times New Roman" w:hAnsi="Times New Roman" w:cs="Times New Roman"/>
          <w:sz w:val="27"/>
          <w:szCs w:val="27"/>
          <w:u w:val="single"/>
        </w:rPr>
        <w:t>può</w:t>
      </w:r>
      <w:r>
        <w:rPr>
          <w:rFonts w:ascii="Times New Roman" w:hAnsi="Times New Roman" w:cs="Times New Roman"/>
          <w:sz w:val="27"/>
          <w:szCs w:val="27"/>
        </w:rPr>
        <w:t xml:space="preserve"> essere sottoposta a consultazione pubblica prima della sua adozione.</w:t>
      </w:r>
    </w:p>
    <w:p w14:paraId="73D68B06" w14:textId="77777777" w:rsidR="005C50FB" w:rsidRDefault="005C50FB" w:rsidP="005C50FB">
      <w:pPr>
        <w:jc w:val="both"/>
      </w:pPr>
      <w:r>
        <w:rPr>
          <w:rFonts w:ascii="Times New Roman" w:hAnsi="Times New Roman" w:cs="Times New Roman"/>
          <w:b/>
          <w:bCs/>
          <w:sz w:val="27"/>
          <w:szCs w:val="27"/>
        </w:rPr>
        <w:t>b) L</w:t>
      </w:r>
      <w:r>
        <w:rPr>
          <w:rFonts w:ascii="Times New Roman" w:hAnsi="Times New Roman" w:cs="Times New Roman"/>
          <w:sz w:val="27"/>
          <w:szCs w:val="27"/>
        </w:rPr>
        <w:t xml:space="preserve">a </w:t>
      </w:r>
      <w:r>
        <w:rPr>
          <w:rFonts w:ascii="Times New Roman" w:hAnsi="Times New Roman" w:cs="Times New Roman"/>
          <w:b/>
          <w:bCs/>
          <w:sz w:val="27"/>
          <w:szCs w:val="27"/>
        </w:rPr>
        <w:t xml:space="preserve">relazione sulla scelta della modalità di gestione </w:t>
      </w:r>
      <w:r>
        <w:rPr>
          <w:rFonts w:ascii="Times New Roman" w:hAnsi="Times New Roman" w:cs="Times New Roman"/>
          <w:sz w:val="27"/>
          <w:szCs w:val="27"/>
        </w:rPr>
        <w:t>del servizio pubblico locale (di cui all'</w:t>
      </w:r>
      <w:r>
        <w:rPr>
          <w:rFonts w:ascii="Times New Roman" w:hAnsi="Times New Roman" w:cs="Times New Roman"/>
          <w:b/>
          <w:bCs/>
          <w:sz w:val="27"/>
          <w:szCs w:val="27"/>
        </w:rPr>
        <w:t>articolo 14, comma 3</w:t>
      </w:r>
      <w:r>
        <w:rPr>
          <w:rFonts w:ascii="Times New Roman" w:hAnsi="Times New Roman" w:cs="Times New Roman"/>
          <w:sz w:val="27"/>
          <w:szCs w:val="27"/>
        </w:rPr>
        <w:t xml:space="preserve">), </w:t>
      </w:r>
      <w:r>
        <w:rPr>
          <w:rFonts w:ascii="Times New Roman" w:hAnsi="Times New Roman" w:cs="Times New Roman"/>
          <w:b/>
          <w:bCs/>
          <w:sz w:val="27"/>
          <w:szCs w:val="27"/>
        </w:rPr>
        <w:t>pr</w:t>
      </w:r>
      <w:r>
        <w:rPr>
          <w:rFonts w:ascii="Times New Roman" w:hAnsi="Times New Roman" w:cs="Times New Roman"/>
          <w:b/>
          <w:bCs/>
          <w:color w:val="474747"/>
          <w:sz w:val="27"/>
          <w:szCs w:val="27"/>
        </w:rPr>
        <w:t>ima dell'avvio della procedura</w:t>
      </w:r>
      <w:r>
        <w:rPr>
          <w:rFonts w:ascii="Times New Roman" w:hAnsi="Times New Roman" w:cs="Times New Roman"/>
          <w:color w:val="474747"/>
          <w:sz w:val="27"/>
          <w:szCs w:val="27"/>
        </w:rPr>
        <w:t xml:space="preserve"> </w:t>
      </w:r>
      <w:r>
        <w:rPr>
          <w:rFonts w:ascii="Times New Roman" w:hAnsi="Times New Roman" w:cs="Times New Roman"/>
          <w:b/>
          <w:bCs/>
          <w:color w:val="474747"/>
          <w:sz w:val="27"/>
          <w:szCs w:val="27"/>
        </w:rPr>
        <w:t>di affidamento</w:t>
      </w:r>
      <w:r>
        <w:rPr>
          <w:rFonts w:ascii="Times New Roman" w:hAnsi="Times New Roman" w:cs="Times New Roman"/>
          <w:color w:val="474747"/>
          <w:sz w:val="27"/>
          <w:szCs w:val="27"/>
        </w:rPr>
        <w:t xml:space="preserve"> del servizio, nella quale sono evidenziate altresì le ragioni e la sussistenza dei requisiti previsti dal diritto dell'Unione europea per la forma di affidamento prescelta, nonché illustrati gli obblighi di servizio pubblico e le eventuali compensazioni economiche, inclusi i relativi criteri di calcolo, anche al fine di evitare sovracompensazioni.</w:t>
      </w:r>
    </w:p>
    <w:p w14:paraId="08A05CFE" w14:textId="77777777" w:rsidR="005C50FB" w:rsidRDefault="005C50FB" w:rsidP="005C50FB">
      <w:pPr>
        <w:jc w:val="both"/>
      </w:pPr>
      <w:r>
        <w:rPr>
          <w:rFonts w:ascii="Times New Roman" w:hAnsi="Times New Roman" w:cs="Times New Roman"/>
          <w:b/>
          <w:bCs/>
          <w:sz w:val="27"/>
          <w:szCs w:val="27"/>
        </w:rPr>
        <w:t>c)</w:t>
      </w:r>
      <w:r>
        <w:rPr>
          <w:rFonts w:ascii="Times New Roman" w:hAnsi="Times New Roman" w:cs="Times New Roman"/>
          <w:sz w:val="27"/>
          <w:szCs w:val="27"/>
        </w:rPr>
        <w:t xml:space="preserve">La </w:t>
      </w:r>
      <w:r>
        <w:rPr>
          <w:rFonts w:ascii="Times New Roman" w:hAnsi="Times New Roman" w:cs="Times New Roman"/>
          <w:b/>
          <w:bCs/>
          <w:sz w:val="27"/>
          <w:szCs w:val="27"/>
        </w:rPr>
        <w:t>deliberazione</w:t>
      </w:r>
      <w:r>
        <w:rPr>
          <w:rFonts w:ascii="Times New Roman" w:hAnsi="Times New Roman" w:cs="Times New Roman"/>
          <w:sz w:val="27"/>
          <w:szCs w:val="27"/>
        </w:rPr>
        <w:t xml:space="preserve"> </w:t>
      </w:r>
      <w:r>
        <w:rPr>
          <w:rFonts w:ascii="Times New Roman" w:hAnsi="Times New Roman" w:cs="Times New Roman"/>
          <w:b/>
          <w:bCs/>
          <w:sz w:val="27"/>
          <w:szCs w:val="27"/>
        </w:rPr>
        <w:t>dell’affidamento in house</w:t>
      </w:r>
      <w:r>
        <w:rPr>
          <w:rFonts w:ascii="Times New Roman" w:hAnsi="Times New Roman" w:cs="Times New Roman"/>
          <w:sz w:val="27"/>
          <w:szCs w:val="27"/>
        </w:rPr>
        <w:t xml:space="preserve"> (di cui all'</w:t>
      </w:r>
      <w:r>
        <w:rPr>
          <w:rFonts w:ascii="Times New Roman" w:hAnsi="Times New Roman" w:cs="Times New Roman"/>
          <w:b/>
          <w:bCs/>
          <w:sz w:val="27"/>
          <w:szCs w:val="27"/>
        </w:rPr>
        <w:t>articolo 17, comma 2</w:t>
      </w:r>
      <w:r>
        <w:rPr>
          <w:rFonts w:ascii="Times New Roman" w:hAnsi="Times New Roman" w:cs="Times New Roman"/>
          <w:sz w:val="27"/>
          <w:szCs w:val="27"/>
        </w:rPr>
        <w:t xml:space="preserve">), nel caso di affidamenti  </w:t>
      </w:r>
      <w:r>
        <w:rPr>
          <w:rFonts w:ascii="Times New Roman" w:hAnsi="Times New Roman" w:cs="Times New Roman"/>
          <w:b/>
          <w:bCs/>
          <w:sz w:val="27"/>
          <w:szCs w:val="27"/>
        </w:rPr>
        <w:t>di importo superiore alle soglie di rilevanza europea</w:t>
      </w:r>
      <w:r>
        <w:rPr>
          <w:rFonts w:ascii="Times New Roman" w:hAnsi="Times New Roman" w:cs="Times New Roman"/>
          <w:sz w:val="27"/>
          <w:szCs w:val="27"/>
        </w:rPr>
        <w:t xml:space="preserve"> in materia di contratti pubblici, sulla base di una </w:t>
      </w:r>
      <w:r>
        <w:rPr>
          <w:rFonts w:ascii="Times New Roman" w:hAnsi="Times New Roman" w:cs="Times New Roman"/>
          <w:b/>
          <w:bCs/>
          <w:sz w:val="27"/>
          <w:szCs w:val="27"/>
        </w:rPr>
        <w:t>qualificata motivazione</w:t>
      </w:r>
      <w:r>
        <w:rPr>
          <w:rFonts w:ascii="Times New Roman" w:hAnsi="Times New Roman" w:cs="Times New Roman"/>
          <w:sz w:val="27"/>
          <w:szCs w:val="27"/>
        </w:rPr>
        <w:t xml:space="preserve"> che dia espressamente conto delle ragioni del mancato ricorso al mercato ai fini di un'efficiente gestione del servizio, illustrando, anche sulla base degli atti e degli indicatori di cui agli articoli 7, 8 e 9, i benefici per la collettività della forma di gestione prescelta con riguardo agli investimenti, alla qualità del servizio, ai costi dei servizi per gli utenti, all'impatto sulla finanza pubblica, nonché agli obiettivi di universalità, socialità, tutela dell'ambiente e accessibilità dei servizi, anche in relazione ai risultati conseguiti in eventuali pregresse gestioni in house, tenendo conto dei dati e delle informazioni risultanti dalle verifiche periodiche di cui all'articolo 30.</w:t>
      </w:r>
    </w:p>
    <w:p w14:paraId="0B1C40D6" w14:textId="77777777" w:rsidR="005C50FB" w:rsidRDefault="005C50FB" w:rsidP="005C50FB">
      <w:pPr>
        <w:jc w:val="both"/>
      </w:pPr>
      <w:r>
        <w:rPr>
          <w:rFonts w:ascii="Times New Roman" w:hAnsi="Times New Roman" w:cs="Times New Roman"/>
          <w:b/>
          <w:bCs/>
          <w:sz w:val="27"/>
          <w:szCs w:val="27"/>
        </w:rPr>
        <w:t>d)</w:t>
      </w:r>
      <w:r w:rsidRPr="002C211C">
        <w:rPr>
          <w:rFonts w:ascii="Times New Roman" w:hAnsi="Times New Roman" w:cs="Times New Roman"/>
          <w:b/>
          <w:bCs/>
          <w:sz w:val="27"/>
          <w:szCs w:val="27"/>
          <w:highlight w:val="yellow"/>
        </w:rPr>
        <w:t>L</w:t>
      </w:r>
      <w:r w:rsidRPr="002C211C">
        <w:rPr>
          <w:rFonts w:ascii="Times New Roman" w:hAnsi="Times New Roman" w:cs="Times New Roman"/>
          <w:sz w:val="27"/>
          <w:szCs w:val="27"/>
          <w:highlight w:val="yellow"/>
        </w:rPr>
        <w:t xml:space="preserve">a </w:t>
      </w:r>
      <w:r w:rsidRPr="002C211C">
        <w:rPr>
          <w:rFonts w:ascii="Times New Roman" w:hAnsi="Times New Roman" w:cs="Times New Roman"/>
          <w:b/>
          <w:bCs/>
          <w:sz w:val="27"/>
          <w:szCs w:val="27"/>
          <w:highlight w:val="yellow"/>
        </w:rPr>
        <w:t>relazione circa le verifiche periodiche sulla situazione gestionale dei servizi pubblici locali</w:t>
      </w:r>
      <w:r>
        <w:rPr>
          <w:rFonts w:ascii="Times New Roman" w:hAnsi="Times New Roman" w:cs="Times New Roman"/>
          <w:sz w:val="27"/>
          <w:szCs w:val="27"/>
        </w:rPr>
        <w:t xml:space="preserve"> </w:t>
      </w:r>
      <w:r w:rsidRPr="002C211C">
        <w:rPr>
          <w:rFonts w:ascii="Times New Roman" w:hAnsi="Times New Roman" w:cs="Times New Roman"/>
          <w:sz w:val="27"/>
          <w:szCs w:val="27"/>
          <w:highlight w:val="yellow"/>
        </w:rPr>
        <w:t>(inserisci il link alla modulistica)</w:t>
      </w:r>
      <w:r>
        <w:rPr>
          <w:rFonts w:ascii="Times New Roman" w:hAnsi="Times New Roman" w:cs="Times New Roman"/>
          <w:sz w:val="27"/>
          <w:szCs w:val="27"/>
        </w:rPr>
        <w:t xml:space="preserve"> (di cui all'</w:t>
      </w:r>
      <w:r>
        <w:rPr>
          <w:rFonts w:ascii="Times New Roman" w:hAnsi="Times New Roman" w:cs="Times New Roman"/>
          <w:b/>
          <w:bCs/>
          <w:sz w:val="27"/>
          <w:szCs w:val="27"/>
        </w:rPr>
        <w:t>articolo 30, comma 2</w:t>
      </w:r>
      <w:r>
        <w:rPr>
          <w:rFonts w:ascii="Times New Roman" w:hAnsi="Times New Roman" w:cs="Times New Roman"/>
          <w:sz w:val="27"/>
          <w:szCs w:val="27"/>
        </w:rPr>
        <w:t xml:space="preserve">). </w:t>
      </w:r>
    </w:p>
    <w:p w14:paraId="55F00CEF" w14:textId="77777777" w:rsidR="005C50FB" w:rsidRDefault="005C50FB" w:rsidP="005C50FB">
      <w:pPr>
        <w:jc w:val="both"/>
      </w:pPr>
      <w:r>
        <w:rPr>
          <w:rFonts w:ascii="Times New Roman" w:hAnsi="Times New Roman" w:cs="Times New Roman"/>
          <w:sz w:val="27"/>
          <w:szCs w:val="27"/>
        </w:rPr>
        <w:t xml:space="preserve">I comuni o le loro eventuali forme associative, con </w:t>
      </w:r>
      <w:r>
        <w:rPr>
          <w:rFonts w:ascii="Times New Roman" w:hAnsi="Times New Roman" w:cs="Times New Roman"/>
          <w:b/>
          <w:bCs/>
          <w:sz w:val="27"/>
          <w:szCs w:val="27"/>
        </w:rPr>
        <w:t>popolazione superiore a 5.000 abitanti</w:t>
      </w:r>
      <w:r>
        <w:rPr>
          <w:rFonts w:ascii="Times New Roman" w:hAnsi="Times New Roman" w:cs="Times New Roman"/>
          <w:sz w:val="27"/>
          <w:szCs w:val="27"/>
        </w:rPr>
        <w:t xml:space="preserve">, nonché le città metropolitane, le province e gli altri enti competenti, in relazione al proprio ambito o bacino del servizio, effettuano la ricognizione periodica della situazione gestionale dei servizi pubblici locali di rilevanza economica nei rispettivi territori. Questo modello è scaricabile nella sezione modulistica dell’area </w:t>
      </w:r>
      <w:r w:rsidRPr="002C211C">
        <w:rPr>
          <w:rFonts w:ascii="Times New Roman" w:hAnsi="Times New Roman" w:cs="Times New Roman"/>
          <w:sz w:val="27"/>
          <w:szCs w:val="27"/>
          <w:highlight w:val="yellow"/>
        </w:rPr>
        <w:t>…………….</w:t>
      </w:r>
      <w:r>
        <w:rPr>
          <w:rFonts w:ascii="Times New Roman" w:hAnsi="Times New Roman" w:cs="Times New Roman"/>
          <w:sz w:val="27"/>
          <w:szCs w:val="27"/>
        </w:rPr>
        <w:t xml:space="preserve"> </w:t>
      </w:r>
      <w:r w:rsidRPr="002C211C">
        <w:rPr>
          <w:rFonts w:ascii="Times New Roman" w:hAnsi="Times New Roman" w:cs="Times New Roman"/>
          <w:sz w:val="27"/>
          <w:szCs w:val="27"/>
          <w:highlight w:val="yellow"/>
        </w:rPr>
        <w:t>(compila e inserisci link)</w:t>
      </w:r>
    </w:p>
    <w:p w14:paraId="752D19B1" w14:textId="77777777" w:rsidR="005C50FB" w:rsidRDefault="005C50FB" w:rsidP="005C50FB">
      <w:pPr>
        <w:jc w:val="both"/>
      </w:pPr>
      <w:r>
        <w:rPr>
          <w:rFonts w:ascii="Times New Roman" w:hAnsi="Times New Roman" w:cs="Times New Roman"/>
          <w:sz w:val="27"/>
          <w:szCs w:val="27"/>
        </w:rPr>
        <w:t xml:space="preserve">Nel caso di servizi affidati a società in house, la relazione costituisce </w:t>
      </w:r>
      <w:r>
        <w:rPr>
          <w:rFonts w:ascii="Times New Roman" w:hAnsi="Times New Roman" w:cs="Times New Roman"/>
          <w:sz w:val="27"/>
          <w:szCs w:val="27"/>
          <w:u w:val="single"/>
        </w:rPr>
        <w:t>appendice della relazione annuale</w:t>
      </w:r>
      <w:r>
        <w:rPr>
          <w:rFonts w:ascii="Times New Roman" w:hAnsi="Times New Roman" w:cs="Times New Roman"/>
          <w:sz w:val="27"/>
          <w:szCs w:val="27"/>
        </w:rPr>
        <w:t xml:space="preserve"> di cui all’</w:t>
      </w:r>
      <w:r>
        <w:rPr>
          <w:rFonts w:ascii="Times New Roman" w:hAnsi="Times New Roman" w:cs="Times New Roman"/>
          <w:b/>
          <w:bCs/>
          <w:sz w:val="27"/>
          <w:szCs w:val="27"/>
        </w:rPr>
        <w:t>articolo 20 del decreto legislativo n. 175 del 2016</w:t>
      </w:r>
      <w:r>
        <w:rPr>
          <w:rFonts w:ascii="Times New Roman" w:hAnsi="Times New Roman" w:cs="Times New Roman"/>
          <w:sz w:val="27"/>
          <w:szCs w:val="27"/>
        </w:rPr>
        <w:t>.</w:t>
      </w:r>
    </w:p>
    <w:p w14:paraId="5E3F9894" w14:textId="77777777" w:rsidR="005C50FB" w:rsidRDefault="005C50FB" w:rsidP="005C50FB">
      <w:pPr>
        <w:jc w:val="both"/>
      </w:pPr>
      <w:r>
        <w:rPr>
          <w:rFonts w:ascii="Times New Roman" w:hAnsi="Times New Roman" w:cs="Times New Roman"/>
          <w:sz w:val="27"/>
          <w:szCs w:val="27"/>
        </w:rPr>
        <w:t xml:space="preserve">La ricognizione è volta a rilevare, </w:t>
      </w:r>
      <w:r>
        <w:rPr>
          <w:rFonts w:ascii="Times New Roman" w:hAnsi="Times New Roman" w:cs="Times New Roman"/>
          <w:b/>
          <w:bCs/>
          <w:sz w:val="27"/>
          <w:szCs w:val="27"/>
        </w:rPr>
        <w:t>per ogni servizio affidato</w:t>
      </w:r>
      <w:r>
        <w:rPr>
          <w:rFonts w:ascii="Times New Roman" w:hAnsi="Times New Roman" w:cs="Times New Roman"/>
          <w:sz w:val="27"/>
          <w:szCs w:val="27"/>
        </w:rPr>
        <w:t>, in modo analitico, l’andamento del servizio dal punto di vista economico, della qualità del servizio e del rispetto degli obblighi del contratto di servizio, tenendo conto anche degli atti e degli indicatori di cui agli articoli 7, 8 e 9 ossia delle autorità di regolazione nei servizi pubblici locali a rete e non a rete nonché delle Misure di coordinamento in materia di servizi pubblici locali.</w:t>
      </w:r>
    </w:p>
    <w:p w14:paraId="48CD5A94" w14:textId="77777777" w:rsidR="005C50FB" w:rsidRDefault="005C50FB" w:rsidP="005C50FB">
      <w:pPr>
        <w:jc w:val="both"/>
      </w:pPr>
      <w:r>
        <w:rPr>
          <w:rFonts w:ascii="Times New Roman" w:hAnsi="Times New Roman" w:cs="Times New Roman"/>
          <w:sz w:val="27"/>
          <w:szCs w:val="27"/>
        </w:rPr>
        <w:t xml:space="preserve">La ricognizione è contenuta in un’apposita relazione ed è </w:t>
      </w:r>
      <w:r>
        <w:rPr>
          <w:rFonts w:ascii="Times New Roman" w:hAnsi="Times New Roman" w:cs="Times New Roman"/>
          <w:b/>
          <w:bCs/>
          <w:sz w:val="27"/>
          <w:szCs w:val="27"/>
        </w:rPr>
        <w:t>aggiornata ogni anno</w:t>
      </w:r>
      <w:r>
        <w:rPr>
          <w:rFonts w:ascii="Times New Roman" w:hAnsi="Times New Roman" w:cs="Times New Roman"/>
          <w:sz w:val="27"/>
          <w:szCs w:val="27"/>
        </w:rPr>
        <w:t>, contestualmente all’analisi dell’assetto delle società partecipate di cui all’articolo 20 del decreto legislativo n. 175 del 2016 il quale dispone una revisione periodica delle partecipazioni pubbliche.</w:t>
      </w:r>
    </w:p>
    <w:p w14:paraId="0918C06D" w14:textId="77777777" w:rsidR="005C50FB" w:rsidRDefault="005C50FB" w:rsidP="005C50FB">
      <w:pPr>
        <w:jc w:val="both"/>
      </w:pPr>
      <w:r>
        <w:rPr>
          <w:rFonts w:ascii="Times New Roman" w:hAnsi="Times New Roman" w:cs="Times New Roman"/>
          <w:b/>
          <w:bCs/>
          <w:sz w:val="27"/>
          <w:szCs w:val="27"/>
        </w:rPr>
        <w:t>e) G</w:t>
      </w:r>
      <w:r>
        <w:rPr>
          <w:rFonts w:ascii="Times New Roman" w:hAnsi="Times New Roman" w:cs="Times New Roman"/>
          <w:sz w:val="27"/>
          <w:szCs w:val="27"/>
        </w:rPr>
        <w:t xml:space="preserve">li </w:t>
      </w:r>
      <w:r>
        <w:rPr>
          <w:rFonts w:ascii="Times New Roman" w:hAnsi="Times New Roman" w:cs="Times New Roman"/>
          <w:b/>
          <w:bCs/>
          <w:sz w:val="27"/>
          <w:szCs w:val="27"/>
        </w:rPr>
        <w:t>obblighi di trasparenza</w:t>
      </w:r>
      <w:r>
        <w:rPr>
          <w:rFonts w:ascii="Times New Roman" w:hAnsi="Times New Roman" w:cs="Times New Roman"/>
          <w:sz w:val="27"/>
          <w:szCs w:val="27"/>
        </w:rPr>
        <w:t xml:space="preserve"> (di cui all’</w:t>
      </w:r>
      <w:r>
        <w:rPr>
          <w:rFonts w:ascii="Times New Roman" w:hAnsi="Times New Roman" w:cs="Times New Roman"/>
          <w:b/>
          <w:bCs/>
          <w:sz w:val="27"/>
          <w:szCs w:val="27"/>
        </w:rPr>
        <w:t>articolo 31</w:t>
      </w:r>
      <w:r>
        <w:rPr>
          <w:rFonts w:ascii="Times New Roman" w:hAnsi="Times New Roman" w:cs="Times New Roman"/>
          <w:sz w:val="27"/>
          <w:szCs w:val="27"/>
        </w:rPr>
        <w:t xml:space="preserve">), al fine di rafforzare la trasparenza e la comprensibilità degli atti, riguardanti la </w:t>
      </w:r>
      <w:r>
        <w:rPr>
          <w:rFonts w:ascii="Times New Roman" w:hAnsi="Times New Roman" w:cs="Times New Roman"/>
          <w:b/>
          <w:bCs/>
          <w:sz w:val="27"/>
          <w:szCs w:val="27"/>
        </w:rPr>
        <w:t>pubblicazione nell’apposita sezione del sito on line</w:t>
      </w:r>
      <w:r>
        <w:rPr>
          <w:rFonts w:ascii="Times New Roman" w:hAnsi="Times New Roman" w:cs="Times New Roman"/>
          <w:sz w:val="27"/>
          <w:szCs w:val="27"/>
        </w:rPr>
        <w:t xml:space="preserve"> degli EELL, degli atti e dei dati concernenti l'affidamento e la gestione dei servizi </w:t>
      </w:r>
      <w:r>
        <w:rPr>
          <w:rFonts w:ascii="Times New Roman" w:hAnsi="Times New Roman" w:cs="Times New Roman"/>
          <w:sz w:val="27"/>
          <w:szCs w:val="27"/>
        </w:rPr>
        <w:lastRenderedPageBreak/>
        <w:t xml:space="preserve">pubblici locali di rilevanza economica, delle deliberazioni di istituzione dei servizi pubblici locali e delle relative modalità di gestione, dei contratti di servizio stipulati, delle relazione delle verifiche periodiche, annuali, dell’andamento dei servizi. </w:t>
      </w:r>
    </w:p>
    <w:p w14:paraId="159AD537" w14:textId="77777777" w:rsidR="005C50FB" w:rsidRDefault="005C50FB" w:rsidP="005C50FB">
      <w:pPr>
        <w:jc w:val="both"/>
      </w:pPr>
    </w:p>
    <w:p w14:paraId="4E433AD1" w14:textId="77777777" w:rsidR="00A20A7A" w:rsidRDefault="00A20A7A" w:rsidP="00A20A7A">
      <w:pPr>
        <w:jc w:val="both"/>
        <w:rPr>
          <w:rFonts w:ascii="Times New Roman" w:hAnsi="Times New Roman" w:cs="Times New Roman"/>
          <w:sz w:val="27"/>
          <w:szCs w:val="27"/>
        </w:rPr>
      </w:pPr>
      <w:r>
        <w:rPr>
          <w:rFonts w:ascii="Times New Roman" w:hAnsi="Times New Roman" w:cs="Times New Roman"/>
          <w:sz w:val="27"/>
          <w:szCs w:val="27"/>
        </w:rPr>
        <w:t xml:space="preserve">Quanto all'adempimento </w:t>
      </w:r>
      <w:r>
        <w:rPr>
          <w:rFonts w:ascii="Times New Roman" w:hAnsi="Times New Roman" w:cs="Times New Roman"/>
          <w:b/>
          <w:bCs/>
          <w:sz w:val="27"/>
          <w:szCs w:val="27"/>
        </w:rPr>
        <w:t>sub a</w:t>
      </w:r>
      <w:r>
        <w:rPr>
          <w:rFonts w:ascii="Times New Roman" w:hAnsi="Times New Roman" w:cs="Times New Roman"/>
          <w:sz w:val="27"/>
          <w:szCs w:val="27"/>
        </w:rPr>
        <w:t>, non è possibile predisporre un modello, in quanto dipende dal tipo di servizio e dalla relativa normativa di settore, per cui sarebbero innumerevoli le ipotesi di modelli, ciascuno in relazione alla singola fonte regolativa.</w:t>
      </w:r>
    </w:p>
    <w:p w14:paraId="664E960D" w14:textId="77777777" w:rsidR="00A20A7A" w:rsidRDefault="00A20A7A" w:rsidP="00A20A7A">
      <w:pPr>
        <w:jc w:val="both"/>
      </w:pPr>
    </w:p>
    <w:p w14:paraId="6FF25A9F" w14:textId="77777777" w:rsidR="005C50FB" w:rsidRDefault="005C50FB" w:rsidP="005C50FB">
      <w:pPr>
        <w:jc w:val="both"/>
      </w:pPr>
      <w:r>
        <w:rPr>
          <w:rFonts w:ascii="Times New Roman" w:hAnsi="Times New Roman" w:cs="Times New Roman"/>
          <w:sz w:val="27"/>
          <w:szCs w:val="27"/>
        </w:rPr>
        <w:t xml:space="preserve">Quanto all'adempimento </w:t>
      </w:r>
      <w:r>
        <w:rPr>
          <w:rFonts w:ascii="Times New Roman" w:hAnsi="Times New Roman" w:cs="Times New Roman"/>
          <w:b/>
          <w:bCs/>
          <w:sz w:val="27"/>
          <w:szCs w:val="27"/>
        </w:rPr>
        <w:t>sub b e sub c</w:t>
      </w:r>
      <w:r>
        <w:rPr>
          <w:rFonts w:ascii="Times New Roman" w:hAnsi="Times New Roman" w:cs="Times New Roman"/>
          <w:sz w:val="27"/>
          <w:szCs w:val="27"/>
        </w:rPr>
        <w:t xml:space="preserve"> </w:t>
      </w:r>
      <w:r w:rsidRPr="002C211C">
        <w:rPr>
          <w:rFonts w:ascii="Times New Roman" w:hAnsi="Times New Roman" w:cs="Times New Roman"/>
          <w:b/>
          <w:bCs/>
          <w:sz w:val="27"/>
          <w:szCs w:val="27"/>
        </w:rPr>
        <w:t xml:space="preserve">Anac </w:t>
      </w:r>
      <w:r>
        <w:rPr>
          <w:rFonts w:ascii="Times New Roman" w:hAnsi="Times New Roman" w:cs="Times New Roman"/>
          <w:sz w:val="27"/>
          <w:szCs w:val="27"/>
        </w:rPr>
        <w:t xml:space="preserve">ha messo a disposizione appositi schemi che </w:t>
      </w:r>
      <w:r w:rsidRPr="002C211C">
        <w:rPr>
          <w:rFonts w:ascii="Times New Roman" w:hAnsi="Times New Roman" w:cs="Times New Roman"/>
          <w:b/>
          <w:bCs/>
          <w:sz w:val="27"/>
          <w:szCs w:val="27"/>
          <w:highlight w:val="yellow"/>
        </w:rPr>
        <w:t>possono essere scaricati al seguente link</w:t>
      </w:r>
      <w:r>
        <w:rPr>
          <w:rFonts w:ascii="Times New Roman" w:hAnsi="Times New Roman" w:cs="Times New Roman"/>
          <w:sz w:val="27"/>
          <w:szCs w:val="27"/>
        </w:rPr>
        <w:t xml:space="preserve"> </w:t>
      </w:r>
      <w:r w:rsidRPr="002C211C">
        <w:rPr>
          <w:rFonts w:ascii="Times New Roman" w:hAnsi="Times New Roman" w:cs="Times New Roman"/>
          <w:sz w:val="27"/>
          <w:szCs w:val="27"/>
          <w:highlight w:val="yellow"/>
        </w:rPr>
        <w:t>(inserire il link).</w:t>
      </w:r>
    </w:p>
    <w:p w14:paraId="3F8B7614" w14:textId="77777777" w:rsidR="005C50FB" w:rsidRDefault="005C50FB" w:rsidP="005C50FB">
      <w:pPr>
        <w:jc w:val="both"/>
      </w:pPr>
    </w:p>
    <w:p w14:paraId="643DC1E4" w14:textId="77777777" w:rsidR="005C50FB" w:rsidRDefault="005C50FB" w:rsidP="005C50FB">
      <w:pPr>
        <w:jc w:val="both"/>
      </w:pPr>
      <w:r>
        <w:rPr>
          <w:rFonts w:ascii="Times New Roman" w:hAnsi="Times New Roman" w:cs="Times New Roman"/>
          <w:sz w:val="27"/>
          <w:szCs w:val="27"/>
        </w:rPr>
        <w:t xml:space="preserve">Quanto all'adempimento </w:t>
      </w:r>
      <w:r>
        <w:rPr>
          <w:rFonts w:ascii="Times New Roman" w:hAnsi="Times New Roman" w:cs="Times New Roman"/>
          <w:b/>
          <w:bCs/>
          <w:sz w:val="27"/>
          <w:szCs w:val="27"/>
        </w:rPr>
        <w:t>sub e</w:t>
      </w:r>
      <w:r>
        <w:rPr>
          <w:rFonts w:ascii="Times New Roman" w:hAnsi="Times New Roman" w:cs="Times New Roman"/>
          <w:sz w:val="27"/>
          <w:szCs w:val="27"/>
        </w:rPr>
        <w:t xml:space="preserve">, non sono previsti modelli in quanto si tratta di atti dell'Ente che devono essere </w:t>
      </w:r>
      <w:r>
        <w:rPr>
          <w:rFonts w:ascii="Times New Roman" w:hAnsi="Times New Roman" w:cs="Times New Roman"/>
          <w:b/>
          <w:bCs/>
          <w:sz w:val="27"/>
          <w:szCs w:val="27"/>
          <w:u w:val="single"/>
        </w:rPr>
        <w:t>pubblicati  senza indugio sul sito istituzionale</w:t>
      </w:r>
      <w:r>
        <w:rPr>
          <w:rFonts w:ascii="Times New Roman" w:hAnsi="Times New Roman" w:cs="Times New Roman"/>
          <w:sz w:val="27"/>
          <w:szCs w:val="27"/>
        </w:rPr>
        <w:t xml:space="preserve"> dell'ente affidante (apposita sezione del sito istituzionale e/o in Amministrazione Trasparente – sotto sezione I livello “servizi erogati” e/o creando in “altri contenuti” apposita sezione denominata “servizi pubblici locali - d.lgs. n. 201/2022”) e devono essere </w:t>
      </w:r>
      <w:r>
        <w:rPr>
          <w:rFonts w:ascii="Times New Roman" w:hAnsi="Times New Roman" w:cs="Times New Roman"/>
          <w:b/>
          <w:bCs/>
          <w:sz w:val="27"/>
          <w:szCs w:val="27"/>
          <w:u w:val="single"/>
        </w:rPr>
        <w:t>trasmessi contestualmente all'Anac</w:t>
      </w:r>
      <w:r>
        <w:rPr>
          <w:rFonts w:ascii="Times New Roman" w:hAnsi="Times New Roman" w:cs="Times New Roman"/>
          <w:sz w:val="27"/>
          <w:szCs w:val="27"/>
        </w:rPr>
        <w:t>, che provvede alla loro immediata pubblicazione sul proprio portale telematico, in un'apposita sezione denominata «</w:t>
      </w:r>
      <w:r>
        <w:rPr>
          <w:rFonts w:ascii="Times New Roman" w:hAnsi="Times New Roman" w:cs="Times New Roman"/>
          <w:b/>
          <w:bCs/>
          <w:sz w:val="27"/>
          <w:szCs w:val="27"/>
        </w:rPr>
        <w:t>Trasparenza dei servizi pubblici locali di rilevanza economica - Trasparenza SPL</w:t>
      </w:r>
      <w:r>
        <w:rPr>
          <w:rFonts w:ascii="Times New Roman" w:hAnsi="Times New Roman" w:cs="Times New Roman"/>
          <w:sz w:val="27"/>
          <w:szCs w:val="27"/>
        </w:rPr>
        <w:t>», dando evidenza della data di pubblicazione.</w:t>
      </w:r>
    </w:p>
    <w:p w14:paraId="304445DC" w14:textId="77777777" w:rsidR="005C50FB" w:rsidRDefault="005C50FB" w:rsidP="005C50FB">
      <w:pPr>
        <w:jc w:val="both"/>
      </w:pPr>
    </w:p>
    <w:p w14:paraId="0C9D0454" w14:textId="77777777" w:rsidR="005C50FB" w:rsidRDefault="005C50FB" w:rsidP="005C50FB"/>
    <w:p w14:paraId="7CBECD6B" w14:textId="77777777" w:rsidR="005C50FB" w:rsidRDefault="005C50FB"/>
    <w:sectPr w:rsidR="005C50F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0FB"/>
    <w:rsid w:val="005C50FB"/>
    <w:rsid w:val="00A20A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B2F1"/>
  <w15:chartTrackingRefBased/>
  <w15:docId w15:val="{29ADDF4A-8930-477A-A333-8F008F9D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50FB"/>
    <w:pPr>
      <w:spacing w:after="0" w:line="240" w:lineRule="auto"/>
    </w:pPr>
    <w:rPr>
      <w:rFonts w:ascii="Calibri" w:hAnsi="Calibri" w:cs="Calibri"/>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7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4336</Characters>
  <Application>Microsoft Office Word</Application>
  <DocSecurity>0</DocSecurity>
  <Lines>36</Lines>
  <Paragraphs>10</Paragraphs>
  <ScaleCrop>false</ScaleCrop>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Giada Vello</dc:creator>
  <cp:keywords/>
  <dc:description/>
  <cp:lastModifiedBy>Giada Vello</cp:lastModifiedBy>
  <cp:revision>2</cp:revision>
  <dcterms:created xsi:type="dcterms:W3CDTF">2023-12-04T12:14:00Z</dcterms:created>
  <dcterms:modified xsi:type="dcterms:W3CDTF">2023-12-04T12:15:00Z</dcterms:modified>
</cp:coreProperties>
</file>