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F9A8" w14:textId="77777777" w:rsidR="00855026" w:rsidRDefault="00855026" w:rsidP="0085502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GIUNTA COMUNALE</w:t>
      </w:r>
    </w:p>
    <w:p w14:paraId="20156ACA" w14:textId="77777777" w:rsidR="00855026" w:rsidRDefault="00855026" w:rsidP="0085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Visti:</w:t>
      </w:r>
    </w:p>
    <w:p w14:paraId="70AE892B" w14:textId="77777777" w:rsidR="00855026" w:rsidRPr="00F247AA" w:rsidRDefault="00855026" w:rsidP="0085502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7AA">
        <w:rPr>
          <w:rFonts w:ascii="Arial" w:hAnsi="Arial" w:cs="Arial"/>
          <w:sz w:val="20"/>
          <w:szCs w:val="20"/>
        </w:rPr>
        <w:t xml:space="preserve">il </w:t>
      </w:r>
      <w:hyperlink r:id="rId7" w:history="1">
        <w:r w:rsidRPr="004E0BF8">
          <w:rPr>
            <w:rStyle w:val="Collegamentoipertestuale"/>
            <w:rFonts w:ascii="Arial" w:hAnsi="Arial" w:cs="Arial"/>
            <w:sz w:val="20"/>
            <w:szCs w:val="20"/>
          </w:rPr>
          <w:t>decreto legislativo 18 agosto 2000 n. 267</w:t>
        </w:r>
      </w:hyperlink>
      <w:r w:rsidRPr="00F247AA">
        <w:rPr>
          <w:rFonts w:ascii="Arial" w:hAnsi="Arial" w:cs="Arial"/>
          <w:sz w:val="20"/>
          <w:szCs w:val="20"/>
        </w:rPr>
        <w:t xml:space="preserve"> (Testo unico delle leggi sull'ordinamento degli enti locali);</w:t>
      </w:r>
    </w:p>
    <w:p w14:paraId="72D122E4" w14:textId="77777777" w:rsidR="00855026" w:rsidRPr="00F247AA" w:rsidRDefault="00855026" w:rsidP="0085502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7AA">
        <w:rPr>
          <w:rFonts w:ascii="Arial" w:hAnsi="Arial" w:cs="Arial"/>
          <w:sz w:val="20"/>
          <w:szCs w:val="20"/>
        </w:rPr>
        <w:t xml:space="preserve">il </w:t>
      </w:r>
      <w:hyperlink r:id="rId8" w:history="1">
        <w:r w:rsidRPr="004E0BF8">
          <w:rPr>
            <w:rStyle w:val="Collegamentoipertestuale"/>
            <w:rFonts w:ascii="Arial" w:hAnsi="Arial" w:cs="Arial"/>
            <w:sz w:val="20"/>
            <w:szCs w:val="20"/>
          </w:rPr>
          <w:t>decreto legislativo 23 giugno 2011, n. 118</w:t>
        </w:r>
      </w:hyperlink>
      <w:r w:rsidRPr="00F247AA">
        <w:rPr>
          <w:rFonts w:ascii="Arial" w:hAnsi="Arial" w:cs="Arial"/>
          <w:sz w:val="20"/>
          <w:szCs w:val="20"/>
        </w:rPr>
        <w:t xml:space="preserve"> (Disposizioni in materia di armonizzazione dei sistemi contabili e degli schemi di bilancio delle Regioni, degli enti locali e dei loro organismi, a norma degli articoli </w:t>
      </w:r>
      <w:hyperlink r:id="rId9" w:history="1">
        <w:r w:rsidRPr="004E0BF8">
          <w:rPr>
            <w:rStyle w:val="Collegamentoipertestuale"/>
            <w:rFonts w:ascii="Arial" w:hAnsi="Arial" w:cs="Arial"/>
            <w:sz w:val="20"/>
            <w:szCs w:val="20"/>
          </w:rPr>
          <w:t>1</w:t>
        </w:r>
      </w:hyperlink>
      <w:r w:rsidRPr="00F247AA">
        <w:rPr>
          <w:rFonts w:ascii="Arial" w:hAnsi="Arial" w:cs="Arial"/>
          <w:sz w:val="20"/>
          <w:szCs w:val="20"/>
        </w:rPr>
        <w:t xml:space="preserve"> e </w:t>
      </w:r>
      <w:hyperlink r:id="rId10" w:history="1">
        <w:r w:rsidRPr="004E0BF8">
          <w:rPr>
            <w:rStyle w:val="Collegamentoipertestuale"/>
            <w:rFonts w:ascii="Arial" w:hAnsi="Arial" w:cs="Arial"/>
            <w:sz w:val="20"/>
            <w:szCs w:val="20"/>
          </w:rPr>
          <w:t>2</w:t>
        </w:r>
      </w:hyperlink>
      <w:r w:rsidRPr="00F247AA">
        <w:rPr>
          <w:rFonts w:ascii="Arial" w:hAnsi="Arial" w:cs="Arial"/>
          <w:sz w:val="20"/>
          <w:szCs w:val="20"/>
        </w:rPr>
        <w:t xml:space="preserve"> della legge 5 maggio 2009, n. 42);</w:t>
      </w:r>
    </w:p>
    <w:p w14:paraId="5C3470CC" w14:textId="77777777" w:rsidR="00855026" w:rsidRDefault="00855026" w:rsidP="0085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Premesso che </w:t>
      </w:r>
      <w:r w:rsidRPr="00F247AA">
        <w:rPr>
          <w:rFonts w:ascii="Arial" w:hAnsi="Arial" w:cs="Arial"/>
          <w:sz w:val="20"/>
          <w:szCs w:val="20"/>
        </w:rPr>
        <w:t xml:space="preserve">per i comuni fino a 5.000 abitanti, in considerazione delle maggiori difficoltà gestionali connesse alle ridotte dimensioni, </w:t>
      </w:r>
      <w:hyperlink r:id="rId11" w:history="1">
        <w:r w:rsidRPr="004E0BF8">
          <w:rPr>
            <w:rStyle w:val="Collegamentoipertestuale"/>
            <w:rFonts w:ascii="Arial" w:hAnsi="Arial" w:cs="Arial"/>
            <w:sz w:val="20"/>
            <w:szCs w:val="20"/>
          </w:rPr>
          <w:t>l’articolo 232, comma 2, del d.lgs. 267/2000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247AA">
        <w:rPr>
          <w:rFonts w:ascii="Arial" w:hAnsi="Arial" w:cs="Arial"/>
          <w:sz w:val="20"/>
          <w:szCs w:val="20"/>
        </w:rPr>
        <w:t>prevede la possibilità di esercitare, in via definitiva, l’opzione per non tenere la contabilità economico-patrimoniale</w:t>
      </w:r>
      <w:r>
        <w:rPr>
          <w:rFonts w:ascii="Arial" w:hAnsi="Arial" w:cs="Arial"/>
          <w:sz w:val="20"/>
          <w:szCs w:val="20"/>
        </w:rPr>
        <w:t>;</w:t>
      </w:r>
    </w:p>
    <w:p w14:paraId="62D83892" w14:textId="77777777" w:rsidR="00855026" w:rsidRDefault="00855026" w:rsidP="0085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7AA">
        <w:rPr>
          <w:rFonts w:ascii="Arial" w:hAnsi="Arial" w:cs="Arial"/>
          <w:sz w:val="20"/>
          <w:szCs w:val="20"/>
        </w:rPr>
        <w:t>Preso atto</w:t>
      </w:r>
      <w:r>
        <w:rPr>
          <w:rFonts w:ascii="Arial" w:hAnsi="Arial" w:cs="Arial"/>
          <w:sz w:val="20"/>
          <w:szCs w:val="20"/>
        </w:rPr>
        <w:t xml:space="preserve"> </w:t>
      </w:r>
      <w:r w:rsidRPr="00F247AA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, </w:t>
      </w:r>
      <w:r w:rsidRPr="00F247AA">
        <w:rPr>
          <w:rFonts w:ascii="Arial" w:hAnsi="Arial" w:cs="Arial"/>
          <w:sz w:val="20"/>
          <w:szCs w:val="20"/>
        </w:rPr>
        <w:t xml:space="preserve">qualora l’ente eserciti la facoltà di cui </w:t>
      </w:r>
      <w:hyperlink r:id="rId12" w:history="1">
        <w:r w:rsidRPr="004E0BF8">
          <w:rPr>
            <w:rStyle w:val="Collegamentoipertestuale"/>
            <w:rFonts w:ascii="Arial" w:hAnsi="Arial" w:cs="Arial"/>
            <w:sz w:val="20"/>
            <w:szCs w:val="20"/>
          </w:rPr>
          <w:t>all’articolo 232, comma 2, del d.lgs. 267/2000</w:t>
        </w:r>
      </w:hyperlink>
      <w:r w:rsidRPr="00F247A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è tenuto ad allegare </w:t>
      </w:r>
      <w:r w:rsidRPr="00F247AA">
        <w:rPr>
          <w:rFonts w:ascii="Arial" w:hAnsi="Arial" w:cs="Arial"/>
          <w:sz w:val="20"/>
          <w:szCs w:val="20"/>
        </w:rPr>
        <w:t>al rendiconto una situazione patrimoniale al 31 dicembre dell'anno precedente</w:t>
      </w:r>
      <w:r>
        <w:rPr>
          <w:rFonts w:ascii="Arial" w:hAnsi="Arial" w:cs="Arial"/>
          <w:sz w:val="20"/>
          <w:szCs w:val="20"/>
        </w:rPr>
        <w:t xml:space="preserve"> </w:t>
      </w:r>
      <w:r w:rsidRPr="00F247AA">
        <w:rPr>
          <w:rFonts w:ascii="Arial" w:hAnsi="Arial" w:cs="Arial"/>
          <w:sz w:val="20"/>
          <w:szCs w:val="20"/>
        </w:rPr>
        <w:t xml:space="preserve">secondo lo schema di cui all'allegato n. 10 al </w:t>
      </w:r>
      <w:hyperlink r:id="rId13" w:history="1">
        <w:r w:rsidRPr="004E0BF8">
          <w:rPr>
            <w:rStyle w:val="Collegamentoipertestuale"/>
            <w:rFonts w:ascii="Arial" w:hAnsi="Arial" w:cs="Arial"/>
            <w:sz w:val="20"/>
            <w:szCs w:val="20"/>
          </w:rPr>
          <w:t>d.lgs. 118/2011</w:t>
        </w:r>
      </w:hyperlink>
      <w:r w:rsidRPr="00F247AA">
        <w:rPr>
          <w:rFonts w:ascii="Arial" w:hAnsi="Arial" w:cs="Arial"/>
          <w:sz w:val="20"/>
          <w:szCs w:val="20"/>
        </w:rPr>
        <w:t xml:space="preserve"> con modalità semplificate individuate con decreto del Ministero dell'economia e delle finanze 10 novembre 2020;</w:t>
      </w:r>
    </w:p>
    <w:p w14:paraId="1BFF198D" w14:textId="77777777" w:rsidR="00855026" w:rsidRPr="00F247AA" w:rsidRDefault="00855026" w:rsidP="0085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7AA">
        <w:rPr>
          <w:rFonts w:ascii="Arial" w:hAnsi="Arial" w:cs="Arial"/>
          <w:sz w:val="20"/>
          <w:szCs w:val="20"/>
        </w:rPr>
        <w:t>Ritenuto opportuno, in considerazione delle suddette difficoltà gestionali</w:t>
      </w:r>
      <w:r>
        <w:rPr>
          <w:rFonts w:ascii="Arial" w:hAnsi="Arial" w:cs="Arial"/>
          <w:sz w:val="20"/>
          <w:szCs w:val="20"/>
        </w:rPr>
        <w:t xml:space="preserve"> e del numero di abitanti attuale</w:t>
      </w:r>
      <w:r w:rsidRPr="00F247AA">
        <w:rPr>
          <w:rFonts w:ascii="Arial" w:hAnsi="Arial" w:cs="Arial"/>
          <w:sz w:val="20"/>
          <w:szCs w:val="20"/>
        </w:rPr>
        <w:t xml:space="preserve">, esercitare la facoltà concessa </w:t>
      </w:r>
      <w:hyperlink r:id="rId14" w:history="1">
        <w:r w:rsidRPr="004E0BF8">
          <w:rPr>
            <w:rStyle w:val="Collegamentoipertestuale"/>
            <w:rFonts w:ascii="Arial" w:hAnsi="Arial" w:cs="Arial"/>
            <w:sz w:val="20"/>
            <w:szCs w:val="20"/>
          </w:rPr>
          <w:t>dall’articolo 232, comma 2</w:t>
        </w:r>
      </w:hyperlink>
      <w:r w:rsidRPr="00F247AA">
        <w:rPr>
          <w:rFonts w:ascii="Arial" w:hAnsi="Arial" w:cs="Arial"/>
          <w:sz w:val="20"/>
          <w:szCs w:val="20"/>
        </w:rPr>
        <w:t xml:space="preserve"> e dunque di non tenere la contabilità economico-patrimoniale;</w:t>
      </w:r>
    </w:p>
    <w:p w14:paraId="2483E7E7" w14:textId="77777777" w:rsidR="00855026" w:rsidRDefault="00855026" w:rsidP="0085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Rammentato che in base a </w:t>
      </w:r>
      <w:r w:rsidRPr="00F247AA">
        <w:rPr>
          <w:rFonts w:ascii="Arial" w:hAnsi="Arial" w:cs="Arial"/>
          <w:sz w:val="20"/>
          <w:szCs w:val="20"/>
        </w:rPr>
        <w:t xml:space="preserve">quanto </w:t>
      </w:r>
      <w:r>
        <w:rPr>
          <w:rFonts w:ascii="Arial" w:hAnsi="Arial" w:cs="Arial"/>
          <w:sz w:val="20"/>
          <w:szCs w:val="20"/>
        </w:rPr>
        <w:t xml:space="preserve">previsto </w:t>
      </w:r>
      <w:r w:rsidRPr="00F247AA">
        <w:rPr>
          <w:rFonts w:ascii="Arial" w:hAnsi="Arial" w:cs="Arial"/>
          <w:sz w:val="20"/>
          <w:szCs w:val="20"/>
        </w:rPr>
        <w:t xml:space="preserve">dalla commissione </w:t>
      </w:r>
      <w:proofErr w:type="spellStart"/>
      <w:r w:rsidRPr="00F247AA">
        <w:rPr>
          <w:rFonts w:ascii="Arial" w:hAnsi="Arial" w:cs="Arial"/>
          <w:sz w:val="20"/>
          <w:szCs w:val="20"/>
        </w:rPr>
        <w:t>Arconet</w:t>
      </w:r>
      <w:proofErr w:type="spellEnd"/>
      <w:r w:rsidRPr="00F247AA">
        <w:rPr>
          <w:rFonts w:ascii="Arial" w:hAnsi="Arial" w:cs="Arial"/>
          <w:sz w:val="20"/>
          <w:szCs w:val="20"/>
        </w:rPr>
        <w:t xml:space="preserve"> nella riunione del 20 gennaio 2021: “</w:t>
      </w:r>
      <w:r w:rsidRPr="00B86E0B">
        <w:rPr>
          <w:rFonts w:ascii="Arial" w:hAnsi="Arial" w:cs="Arial"/>
          <w:i/>
          <w:iCs/>
          <w:sz w:val="20"/>
          <w:szCs w:val="20"/>
        </w:rPr>
        <w:t xml:space="preserve">A decorrere dal rendiconto 2020, la validità della delibera inviata alla BDAP concernente la facoltà di cui </w:t>
      </w:r>
      <w:hyperlink r:id="rId15" w:history="1">
        <w:r w:rsidRPr="004E0BF8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all’art. 232, comma 2 del TUEL</w:t>
        </w:r>
      </w:hyperlink>
      <w:r w:rsidRPr="00B86E0B">
        <w:rPr>
          <w:rFonts w:ascii="Arial" w:hAnsi="Arial" w:cs="Arial"/>
          <w:i/>
          <w:iCs/>
          <w:sz w:val="20"/>
          <w:szCs w:val="20"/>
        </w:rPr>
        <w:t xml:space="preserve"> si estende fino all’esercizio in cui l’ente delibera di voler iniziare a tenere la contabilità economico-patrimoniale o in caso di perdita dei presupposti della popolazione per poter esercitare tale facoltà</w:t>
      </w:r>
      <w:r>
        <w:rPr>
          <w:rFonts w:ascii="Arial" w:hAnsi="Arial" w:cs="Arial"/>
          <w:sz w:val="20"/>
          <w:szCs w:val="20"/>
        </w:rPr>
        <w:t>”;</w:t>
      </w:r>
    </w:p>
    <w:p w14:paraId="73644CCD" w14:textId="77777777" w:rsidR="00855026" w:rsidRDefault="00855026" w:rsidP="0085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Visti i pareri espressi ai sensi </w:t>
      </w:r>
      <w:hyperlink r:id="rId16" w:history="1">
        <w:r w:rsidRPr="004E0BF8">
          <w:rPr>
            <w:rStyle w:val="Collegamentoipertestuale"/>
            <w:rFonts w:ascii="Arial" w:hAnsi="Arial" w:cs="Arial"/>
            <w:sz w:val="20"/>
            <w:szCs w:val="20"/>
          </w:rPr>
          <w:t>dell’articolo 49 del d.lgs. 267/2000</w:t>
        </w:r>
      </w:hyperlink>
      <w:r>
        <w:rPr>
          <w:rFonts w:ascii="Arial" w:hAnsi="Arial" w:cs="Arial"/>
          <w:sz w:val="20"/>
          <w:szCs w:val="20"/>
        </w:rPr>
        <w:t>;</w:t>
      </w:r>
    </w:p>
    <w:p w14:paraId="69E3440A" w14:textId="77777777" w:rsidR="00855026" w:rsidRPr="00F247AA" w:rsidRDefault="00855026" w:rsidP="0085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voti unanimi</w:t>
      </w:r>
    </w:p>
    <w:p w14:paraId="4EB61F4E" w14:textId="77777777" w:rsidR="00855026" w:rsidRDefault="00855026" w:rsidP="0085502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DELIBERA</w:t>
      </w:r>
    </w:p>
    <w:p w14:paraId="3BDBCDDA" w14:textId="77777777" w:rsidR="00855026" w:rsidRPr="00F247AA" w:rsidRDefault="00855026" w:rsidP="0085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7AA">
        <w:rPr>
          <w:rFonts w:ascii="Arial" w:hAnsi="Arial" w:cs="Arial"/>
          <w:sz w:val="20"/>
          <w:szCs w:val="20"/>
        </w:rPr>
        <w:t>1. di avvalersi</w:t>
      </w:r>
      <w:r>
        <w:rPr>
          <w:rFonts w:ascii="Arial" w:hAnsi="Arial" w:cs="Arial"/>
          <w:sz w:val="20"/>
          <w:szCs w:val="20"/>
        </w:rPr>
        <w:t xml:space="preserve"> </w:t>
      </w:r>
      <w:r w:rsidRPr="00F247AA">
        <w:rPr>
          <w:rFonts w:ascii="Arial" w:hAnsi="Arial" w:cs="Arial"/>
          <w:sz w:val="20"/>
          <w:szCs w:val="20"/>
        </w:rPr>
        <w:t xml:space="preserve">della facoltà prevista </w:t>
      </w:r>
      <w:hyperlink r:id="rId17" w:history="1">
        <w:r w:rsidRPr="004E0BF8">
          <w:rPr>
            <w:rStyle w:val="Collegamentoipertestuale"/>
            <w:rFonts w:ascii="Arial" w:hAnsi="Arial" w:cs="Arial"/>
            <w:sz w:val="20"/>
            <w:szCs w:val="20"/>
          </w:rPr>
          <w:t>dall’articolo 232, comma 2, del d.lgs. 267/2000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247AA">
        <w:rPr>
          <w:rFonts w:ascii="Arial" w:hAnsi="Arial" w:cs="Arial"/>
          <w:sz w:val="20"/>
          <w:szCs w:val="20"/>
        </w:rPr>
        <w:t>che consente agli enti con popolazione inferiore a 5.000 abitanti di non tenere la contabilità economico-patrimoniale</w:t>
      </w:r>
      <w:r>
        <w:rPr>
          <w:rFonts w:ascii="Arial" w:hAnsi="Arial" w:cs="Arial"/>
          <w:sz w:val="20"/>
          <w:szCs w:val="20"/>
        </w:rPr>
        <w:t>.</w:t>
      </w:r>
    </w:p>
    <w:p w14:paraId="7A74E7DA" w14:textId="77777777" w:rsidR="00855026" w:rsidRPr="00F247AA" w:rsidRDefault="00855026" w:rsidP="0085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di avvalersi della </w:t>
      </w:r>
      <w:r w:rsidRPr="00F247AA">
        <w:rPr>
          <w:rFonts w:ascii="Arial" w:hAnsi="Arial" w:cs="Arial"/>
          <w:sz w:val="20"/>
          <w:szCs w:val="20"/>
        </w:rPr>
        <w:t xml:space="preserve">facoltà di non predisporre il bilancio consolidato di cui </w:t>
      </w:r>
      <w:hyperlink r:id="rId18" w:history="1">
        <w:r w:rsidRPr="004E0BF8">
          <w:rPr>
            <w:rStyle w:val="Collegamentoipertestuale"/>
            <w:rFonts w:ascii="Arial" w:hAnsi="Arial" w:cs="Arial"/>
            <w:sz w:val="20"/>
            <w:szCs w:val="20"/>
          </w:rPr>
          <w:t>all’articolo 233-bis, comma 3, del d.lgs. 267/2000</w:t>
        </w:r>
      </w:hyperlink>
      <w:r w:rsidRPr="00F247AA">
        <w:rPr>
          <w:rFonts w:ascii="Arial" w:hAnsi="Arial" w:cs="Arial"/>
          <w:sz w:val="20"/>
          <w:szCs w:val="20"/>
        </w:rPr>
        <w:t>, poiché gli enti che non tengono la contabilità economico-patrimoniale non possono elaborare il bilancio consolidato</w:t>
      </w:r>
      <w:r>
        <w:rPr>
          <w:rFonts w:ascii="Arial" w:hAnsi="Arial" w:cs="Arial"/>
          <w:sz w:val="20"/>
          <w:szCs w:val="20"/>
        </w:rPr>
        <w:t>.</w:t>
      </w:r>
    </w:p>
    <w:p w14:paraId="71EF9738" w14:textId="77777777" w:rsidR="00855026" w:rsidRPr="00F247AA" w:rsidRDefault="00855026" w:rsidP="008550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F247AA">
        <w:rPr>
          <w:rFonts w:ascii="Arial" w:hAnsi="Arial" w:cs="Arial"/>
          <w:sz w:val="20"/>
          <w:szCs w:val="20"/>
        </w:rPr>
        <w:t>di dare atto</w:t>
      </w:r>
      <w:r>
        <w:rPr>
          <w:rFonts w:ascii="Arial" w:hAnsi="Arial" w:cs="Arial"/>
          <w:sz w:val="20"/>
          <w:szCs w:val="20"/>
        </w:rPr>
        <w:t xml:space="preserve"> </w:t>
      </w:r>
      <w:r w:rsidRPr="00F247AA">
        <w:rPr>
          <w:rFonts w:ascii="Arial" w:hAnsi="Arial" w:cs="Arial"/>
          <w:sz w:val="20"/>
          <w:szCs w:val="20"/>
        </w:rPr>
        <w:t xml:space="preserve">che l’ente allegherà al rendiconto di gestione una situazione patrimoniale al 31 dicembre dell’anno precedente con le modalità semplificate </w:t>
      </w:r>
      <w:r>
        <w:rPr>
          <w:rFonts w:ascii="Arial" w:hAnsi="Arial" w:cs="Arial"/>
          <w:sz w:val="20"/>
          <w:szCs w:val="20"/>
        </w:rPr>
        <w:t xml:space="preserve">di cui al </w:t>
      </w:r>
      <w:r w:rsidRPr="00F247AA">
        <w:rPr>
          <w:rFonts w:ascii="Arial" w:hAnsi="Arial" w:cs="Arial"/>
          <w:sz w:val="20"/>
          <w:szCs w:val="20"/>
        </w:rPr>
        <w:t>decreto del Ministero dell'economia e delle finanze 10 novembre 2020</w:t>
      </w:r>
      <w:r>
        <w:rPr>
          <w:rFonts w:ascii="Arial" w:hAnsi="Arial" w:cs="Arial"/>
          <w:sz w:val="20"/>
          <w:szCs w:val="20"/>
        </w:rPr>
        <w:t>.</w:t>
      </w:r>
    </w:p>
    <w:p w14:paraId="22C9517C" w14:textId="0F893775" w:rsidR="00E863E2" w:rsidRDefault="00855026" w:rsidP="00855026">
      <w:r>
        <w:rPr>
          <w:rFonts w:ascii="Arial" w:hAnsi="Arial" w:cs="Arial"/>
          <w:sz w:val="20"/>
          <w:szCs w:val="20"/>
        </w:rPr>
        <w:t xml:space="preserve">4. </w:t>
      </w:r>
      <w:r w:rsidRPr="00F247AA">
        <w:rPr>
          <w:rFonts w:ascii="Arial" w:hAnsi="Arial" w:cs="Arial"/>
          <w:sz w:val="20"/>
          <w:szCs w:val="20"/>
        </w:rPr>
        <w:t>di dare atto che</w:t>
      </w:r>
      <w:r>
        <w:rPr>
          <w:rFonts w:ascii="Arial" w:hAnsi="Arial" w:cs="Arial"/>
          <w:sz w:val="20"/>
          <w:szCs w:val="20"/>
        </w:rPr>
        <w:t xml:space="preserve"> tale facoltà si </w:t>
      </w:r>
      <w:r w:rsidRPr="00F247AA">
        <w:rPr>
          <w:rFonts w:ascii="Arial" w:hAnsi="Arial" w:cs="Arial"/>
          <w:sz w:val="20"/>
          <w:szCs w:val="20"/>
        </w:rPr>
        <w:t>estende fino all’esercizio in cui l’ente delibera di voler iniziare a tenere la contabilità economico-patrimoniale o in caso di perdita dei presupposti della popolazione per poter esercitare tale facoltà</w:t>
      </w:r>
    </w:p>
    <w:sectPr w:rsidR="00E863E2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B606" w14:textId="77777777" w:rsidR="00C912DF" w:rsidRDefault="00C912DF" w:rsidP="00855026">
      <w:pPr>
        <w:spacing w:after="0" w:line="240" w:lineRule="auto"/>
      </w:pPr>
      <w:r>
        <w:separator/>
      </w:r>
    </w:p>
  </w:endnote>
  <w:endnote w:type="continuationSeparator" w:id="0">
    <w:p w14:paraId="54176F6A" w14:textId="77777777" w:rsidR="00C912DF" w:rsidRDefault="00C912DF" w:rsidP="0085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09E3" w14:textId="77777777" w:rsidR="00C912DF" w:rsidRDefault="00C912DF" w:rsidP="00855026">
      <w:pPr>
        <w:spacing w:after="0" w:line="240" w:lineRule="auto"/>
      </w:pPr>
      <w:r>
        <w:separator/>
      </w:r>
    </w:p>
  </w:footnote>
  <w:footnote w:type="continuationSeparator" w:id="0">
    <w:p w14:paraId="1011E71C" w14:textId="77777777" w:rsidR="00C912DF" w:rsidRDefault="00C912DF" w:rsidP="0085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A3C6" w14:textId="01C4A5AC" w:rsidR="00855026" w:rsidRDefault="00855026" w:rsidP="00855026">
    <w:pPr>
      <w:pStyle w:val="Intestazione"/>
      <w:jc w:val="center"/>
    </w:pPr>
    <w:r w:rsidRPr="006C3FC8">
      <w:rPr>
        <w:noProof/>
      </w:rPr>
      <w:drawing>
        <wp:inline distT="0" distB="0" distL="0" distR="0" wp14:anchorId="6D8F6949" wp14:editId="31C70709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F9A80" w14:textId="5FF1BE26" w:rsidR="00855026" w:rsidRDefault="008550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28E5"/>
    <w:multiLevelType w:val="hybridMultilevel"/>
    <w:tmpl w:val="06007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26"/>
    <w:rsid w:val="001B1D01"/>
    <w:rsid w:val="00855026"/>
    <w:rsid w:val="00C912DF"/>
    <w:rsid w:val="00E8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7693"/>
  <w15:chartTrackingRefBased/>
  <w15:docId w15:val="{5BA1B020-1CAB-477A-8A04-A0BDE09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0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0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502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5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026"/>
  </w:style>
  <w:style w:type="paragraph" w:styleId="Pidipagina">
    <w:name w:val="footer"/>
    <w:basedOn w:val="Normale"/>
    <w:link w:val="PidipaginaCarattere"/>
    <w:uiPriority w:val="99"/>
    <w:unhideWhenUsed/>
    <w:rsid w:val="00855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decreto:2011-06-23;118!vig" TargetMode="External"/><Relationship Id="rId13" Type="http://schemas.openxmlformats.org/officeDocument/2006/relationships/hyperlink" Target="https://www.normattiva.it/uri-res/N2Ls?urn:nir:stato:decreto:2011-06-23;118!vig" TargetMode="External"/><Relationship Id="rId18" Type="http://schemas.openxmlformats.org/officeDocument/2006/relationships/hyperlink" Target="https://www.normattiva.it/uri-res/N2Ls?urn:nir:stato:decreto:2000-08-18;267~art233bis!vi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ormattiva.it/uri-res/N2Ls?urn:nir:stato:decreto:2000-08-18;267!vig" TargetMode="External"/><Relationship Id="rId12" Type="http://schemas.openxmlformats.org/officeDocument/2006/relationships/hyperlink" Target="https://www.normattiva.it/uri-res/N2Ls?urn:nir:stato:decreto:2000-08-18;267~art232!vig" TargetMode="External"/><Relationship Id="rId17" Type="http://schemas.openxmlformats.org/officeDocument/2006/relationships/hyperlink" Target="https://www.normattiva.it/uri-res/N2Ls?urn:nir:stato:decreto:2000-08-18;267~art232!vi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rmattiva.it/uri-res/N2Ls?urn:nir:stato:decreto:2000-08-18;267~art49!vi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mattiva.it/uri-res/N2Ls?urn:nir:stato:decreto:2000-08-18;267~art232!v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ormattiva.it/uri-res/N2Ls?urn:nir:stato:decreto:2000-08-18;267~art232!vig" TargetMode="External"/><Relationship Id="rId10" Type="http://schemas.openxmlformats.org/officeDocument/2006/relationships/hyperlink" Target="https://www.normattiva.it/uri-res/N2Ls?urn:nir:stato:legge:2009-05-05;42~art2!vi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ormattiva.it/uri-res/N2Ls?urn:nir:stato:legge:2009-05-05;42~art1!vig" TargetMode="External"/><Relationship Id="rId14" Type="http://schemas.openxmlformats.org/officeDocument/2006/relationships/hyperlink" Target="https://www.normattiva.it/uri-res/N2Ls?urn:nir:stato:decreto:2000-08-18;267~art232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2024-02-27T15:30:00Z</dcterms:created>
  <dcterms:modified xsi:type="dcterms:W3CDTF">2024-02-27T15:32:00Z</dcterms:modified>
</cp:coreProperties>
</file>