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572CA" w14:textId="6B79A67F" w:rsidR="00261CAF" w:rsidRPr="00261CAF" w:rsidRDefault="00261CAF" w:rsidP="00261CAF">
      <w:pPr>
        <w:jc w:val="center"/>
        <w:rPr>
          <w:rFonts w:ascii="Arial" w:hAnsi="Arial" w:cs="Arial"/>
          <w:b/>
          <w:bCs/>
          <w:u w:val="single"/>
        </w:rPr>
      </w:pPr>
      <w:r w:rsidRPr="00261CAF">
        <w:rPr>
          <w:rFonts w:ascii="Arial" w:hAnsi="Arial" w:cs="Arial"/>
          <w:b/>
          <w:bCs/>
          <w:u w:val="single"/>
        </w:rPr>
        <w:t>Delibera adozione programma triennale opere pubbliche</w:t>
      </w:r>
    </w:p>
    <w:p w14:paraId="37A1B19B" w14:textId="77777777" w:rsidR="00261CAF" w:rsidRPr="00261CAF" w:rsidRDefault="00261CAF" w:rsidP="00AA573B">
      <w:pPr>
        <w:jc w:val="both"/>
        <w:rPr>
          <w:rFonts w:ascii="Arial" w:hAnsi="Arial" w:cs="Arial"/>
          <w:b/>
          <w:bCs/>
        </w:rPr>
      </w:pPr>
    </w:p>
    <w:p w14:paraId="7DB8C973" w14:textId="7B81A4F1" w:rsidR="002952EB" w:rsidRPr="00261CAF" w:rsidRDefault="002952EB" w:rsidP="00AA573B">
      <w:pPr>
        <w:jc w:val="both"/>
        <w:rPr>
          <w:rFonts w:ascii="Arial" w:hAnsi="Arial" w:cs="Arial"/>
        </w:rPr>
      </w:pPr>
      <w:r w:rsidRPr="00261CAF">
        <w:rPr>
          <w:rFonts w:ascii="Arial" w:hAnsi="Arial" w:cs="Arial"/>
          <w:b/>
          <w:bCs/>
        </w:rPr>
        <w:t xml:space="preserve">OGGETTO: </w:t>
      </w:r>
      <w:r w:rsidRPr="00261CAF">
        <w:rPr>
          <w:rFonts w:ascii="Arial" w:hAnsi="Arial" w:cs="Arial"/>
        </w:rPr>
        <w:t>ADOZIONE DEL PIANO TRIENNALE DEI LAVORI PUBBLICI 2024/2026 E DELL'ELENCO ANNUALE DEI LAVORI PER L'ANNO 2024 E DEL PROGRAMMA TRIENNNALE DI BENI E SERVIZI 2024/2026 (ART.37, COMMI 1,2,3 DEL D.LGS. N. 36/2023).</w:t>
      </w:r>
    </w:p>
    <w:p w14:paraId="7792CEBE" w14:textId="22890606" w:rsidR="002952EB" w:rsidRPr="00261CAF" w:rsidRDefault="002952EB" w:rsidP="00261CAF">
      <w:pPr>
        <w:jc w:val="center"/>
        <w:rPr>
          <w:rFonts w:ascii="Arial" w:hAnsi="Arial" w:cs="Arial"/>
          <w:b/>
          <w:bCs/>
        </w:rPr>
      </w:pPr>
      <w:r w:rsidRPr="00261CAF">
        <w:rPr>
          <w:rFonts w:ascii="Arial" w:hAnsi="Arial" w:cs="Arial"/>
          <w:b/>
          <w:bCs/>
        </w:rPr>
        <w:t>LA GIUNTA COMUNALE</w:t>
      </w:r>
    </w:p>
    <w:p w14:paraId="5458A4DE" w14:textId="77777777" w:rsidR="002952EB" w:rsidRPr="00261CAF" w:rsidRDefault="002952EB" w:rsidP="00AA573B">
      <w:pPr>
        <w:jc w:val="both"/>
        <w:rPr>
          <w:rFonts w:ascii="Arial" w:hAnsi="Arial" w:cs="Arial"/>
        </w:rPr>
      </w:pPr>
      <w:r w:rsidRPr="00261CAF">
        <w:rPr>
          <w:rFonts w:ascii="Arial" w:hAnsi="Arial" w:cs="Arial"/>
        </w:rPr>
        <w:t xml:space="preserve">Premesso che: </w:t>
      </w:r>
    </w:p>
    <w:p w14:paraId="588B87E5" w14:textId="2E396FFE" w:rsidR="002952EB" w:rsidRPr="00261CAF" w:rsidRDefault="002952EB" w:rsidP="00AA573B">
      <w:pPr>
        <w:pStyle w:val="Paragrafoelenco"/>
        <w:numPr>
          <w:ilvl w:val="0"/>
          <w:numId w:val="8"/>
        </w:numPr>
        <w:jc w:val="both"/>
        <w:rPr>
          <w:rFonts w:ascii="Arial" w:hAnsi="Arial" w:cs="Arial"/>
        </w:rPr>
      </w:pPr>
      <w:r w:rsidRPr="00261CAF">
        <w:rPr>
          <w:rFonts w:ascii="Arial" w:hAnsi="Arial" w:cs="Arial"/>
        </w:rPr>
        <w:t xml:space="preserve">l'attività di realizzazione dei lavori, servizi e forniture, negli enti pubblici si svolge sulla base di un programma triennale che le Amministrazioni devono predisporre ed approvare, unitamente all'elenco dei lavori da realizzare nel primo anno, sulla base di schemi tipo definiti secondo l'allegato 1.5 al codice Decreto Legislativo 31 Marzo 2023, n. 36/2023 con la disciplina di dettaglio degli schemi tipo; </w:t>
      </w:r>
    </w:p>
    <w:p w14:paraId="0D67C4A3" w14:textId="4073567B" w:rsidR="002952EB" w:rsidRPr="00261CAF" w:rsidRDefault="002952EB" w:rsidP="00AA573B">
      <w:pPr>
        <w:pStyle w:val="Paragrafoelenco"/>
        <w:numPr>
          <w:ilvl w:val="0"/>
          <w:numId w:val="8"/>
        </w:numPr>
        <w:jc w:val="both"/>
        <w:rPr>
          <w:rFonts w:ascii="Arial" w:hAnsi="Arial" w:cs="Arial"/>
        </w:rPr>
      </w:pPr>
      <w:r w:rsidRPr="00261CAF">
        <w:rPr>
          <w:rFonts w:ascii="Arial" w:hAnsi="Arial" w:cs="Arial"/>
        </w:rPr>
        <w:t xml:space="preserve">l’art. 37, commi 1, 2 e 3, del D.Lgs. 36/2023, dispongono che le stazioni appaltanti adottino il programma triennale dei lavori pubblici e il programma triennale degli acquisti di beni e servizi, includendovi gli interventi di importo pari o superiore ad € 150.000,00 ed i beni e sevizi di importo pari o superiore ad € 140.000,00; </w:t>
      </w:r>
    </w:p>
    <w:p w14:paraId="3C85A5AF" w14:textId="1FFD4CD8" w:rsidR="002952EB" w:rsidRPr="00261CAF" w:rsidRDefault="002952EB" w:rsidP="00AA573B">
      <w:pPr>
        <w:pStyle w:val="Paragrafoelenco"/>
        <w:numPr>
          <w:ilvl w:val="0"/>
          <w:numId w:val="8"/>
        </w:numPr>
        <w:jc w:val="both"/>
        <w:rPr>
          <w:rFonts w:ascii="Arial" w:hAnsi="Arial" w:cs="Arial"/>
        </w:rPr>
      </w:pPr>
      <w:r w:rsidRPr="00261CAF">
        <w:rPr>
          <w:rFonts w:ascii="Arial" w:hAnsi="Arial" w:cs="Arial"/>
        </w:rPr>
        <w:t xml:space="preserve">gli artt. 3 e 6 dell’allegato I.5 al decreto legislativo suddetto, con i quali sono definiti gli schemi tipo da utilizzare rispettivamente per la redazione del programma dei lavori pubblici e per la redazione del programma di acquisto di beni e servizi; </w:t>
      </w:r>
    </w:p>
    <w:p w14:paraId="70367AF0" w14:textId="300DB024" w:rsidR="002952EB" w:rsidRPr="00261CAF" w:rsidRDefault="002952EB" w:rsidP="00AA573B">
      <w:pPr>
        <w:pStyle w:val="Paragrafoelenco"/>
        <w:numPr>
          <w:ilvl w:val="0"/>
          <w:numId w:val="8"/>
        </w:numPr>
        <w:jc w:val="both"/>
        <w:rPr>
          <w:rFonts w:ascii="Arial" w:hAnsi="Arial" w:cs="Arial"/>
        </w:rPr>
      </w:pPr>
      <w:r w:rsidRPr="00261CAF">
        <w:rPr>
          <w:rFonts w:ascii="Arial" w:hAnsi="Arial" w:cs="Arial"/>
        </w:rPr>
        <w:t>l’art. 5 dello stesso allegato I.5, il quale dispone che, successivamente alla adozione, il programma triennale e l'elenco annuale dei lavori pubblici siano pubblicati sul sito istituzionale profilo del committente e ne sia data comunicazione alla Banca dati nazionale dei contratti pubblici per la presentazione di osservazioni nei successivi trenta giorni e la successiva approvazione definitiva entro i successivi trenta giorni;</w:t>
      </w:r>
    </w:p>
    <w:p w14:paraId="49C56BD3" w14:textId="53EF3DF2" w:rsidR="002952EB" w:rsidRPr="00261CAF" w:rsidRDefault="002952EB" w:rsidP="00AA573B">
      <w:pPr>
        <w:jc w:val="both"/>
        <w:rPr>
          <w:rFonts w:ascii="Arial" w:hAnsi="Arial" w:cs="Arial"/>
        </w:rPr>
      </w:pPr>
      <w:r w:rsidRPr="00261CAF">
        <w:rPr>
          <w:rFonts w:ascii="Arial" w:hAnsi="Arial" w:cs="Arial"/>
        </w:rPr>
        <w:t xml:space="preserve">Ritenuto di dover nominare Referente per la redazione del programma triennale dei lavori pubblici 2024/2026 e programma triennale degli acquisti di beni e servizi 2024-2026 e dell’elenco annuale ai sensi dell’art. 3, comma 13, dell’allegato I.5 al D.Lgs. n. 36/2023 e ss.mm.ii. </w:t>
      </w:r>
      <w:r w:rsidR="00261CAF">
        <w:rPr>
          <w:rFonts w:ascii="Arial" w:hAnsi="Arial" w:cs="Arial"/>
        </w:rPr>
        <w:t>il</w:t>
      </w:r>
      <w:r w:rsidRPr="00261CAF">
        <w:rPr>
          <w:rFonts w:ascii="Arial" w:hAnsi="Arial" w:cs="Arial"/>
        </w:rPr>
        <w:t xml:space="preserve"> Responsabile del Settore Territorio e Ambiente; </w:t>
      </w:r>
    </w:p>
    <w:p w14:paraId="12FAE6C3" w14:textId="77777777" w:rsidR="002952EB" w:rsidRPr="00261CAF" w:rsidRDefault="002952EB" w:rsidP="00AA573B">
      <w:pPr>
        <w:jc w:val="both"/>
        <w:rPr>
          <w:rFonts w:ascii="Arial" w:hAnsi="Arial" w:cs="Arial"/>
        </w:rPr>
      </w:pPr>
      <w:r w:rsidRPr="00261CAF">
        <w:rPr>
          <w:rFonts w:ascii="Arial" w:hAnsi="Arial" w:cs="Arial"/>
        </w:rPr>
        <w:t xml:space="preserve">Dato atto che su indicazione dell’Amministrazione Comunale, è stata svolta l’attività preliminare alla redazione del programma triennale e dell’elenco annuale dei lavori pubblici, sulla base delle indicazioni di cui alle norme sopra richiamate; </w:t>
      </w:r>
    </w:p>
    <w:p w14:paraId="0E730DB1" w14:textId="35C64968" w:rsidR="002952EB" w:rsidRPr="00261CAF" w:rsidRDefault="002952EB" w:rsidP="00AA573B">
      <w:pPr>
        <w:jc w:val="both"/>
        <w:rPr>
          <w:rFonts w:ascii="Arial" w:hAnsi="Arial" w:cs="Arial"/>
        </w:rPr>
      </w:pPr>
      <w:r w:rsidRPr="00261CAF">
        <w:rPr>
          <w:rFonts w:ascii="Arial" w:hAnsi="Arial" w:cs="Arial"/>
        </w:rPr>
        <w:t xml:space="preserve">Dato atto che la responsabile del Settore Servizi alla Persona, per quanto di sua competenza, ha comunicato le fonti di finanziamento relative agli acquisti di beni e servizi riferiti al servizio di trasporto scolastico; </w:t>
      </w:r>
    </w:p>
    <w:p w14:paraId="11BB2AD6" w14:textId="5466FFE0" w:rsidR="002952EB" w:rsidRPr="00261CAF" w:rsidRDefault="002952EB" w:rsidP="00AA573B">
      <w:pPr>
        <w:jc w:val="both"/>
        <w:rPr>
          <w:rFonts w:ascii="Arial" w:hAnsi="Arial" w:cs="Arial"/>
        </w:rPr>
      </w:pPr>
      <w:r w:rsidRPr="00261CAF">
        <w:rPr>
          <w:rFonts w:ascii="Arial" w:hAnsi="Arial" w:cs="Arial"/>
        </w:rPr>
        <w:t xml:space="preserve">Visti: </w:t>
      </w:r>
    </w:p>
    <w:p w14:paraId="55AB0420" w14:textId="67233501" w:rsidR="002952EB" w:rsidRPr="00261CAF" w:rsidRDefault="002952EB" w:rsidP="00AA573B">
      <w:pPr>
        <w:pStyle w:val="Paragrafoelenco"/>
        <w:numPr>
          <w:ilvl w:val="0"/>
          <w:numId w:val="6"/>
        </w:numPr>
        <w:jc w:val="both"/>
        <w:rPr>
          <w:rFonts w:ascii="Arial" w:hAnsi="Arial" w:cs="Arial"/>
        </w:rPr>
      </w:pPr>
      <w:r w:rsidRPr="00261CAF">
        <w:rPr>
          <w:rFonts w:ascii="Arial" w:hAnsi="Arial" w:cs="Arial"/>
        </w:rPr>
        <w:t xml:space="preserve">lo schema del programma triennale dei lavori pubblici 2024/2026 e relativo elenco annuale 2025, costituito dalle seguenti schede: </w:t>
      </w:r>
    </w:p>
    <w:p w14:paraId="5668F4CD" w14:textId="6B338DDD" w:rsidR="002952EB" w:rsidRPr="00261CAF" w:rsidRDefault="002952EB" w:rsidP="00AA573B">
      <w:pPr>
        <w:pStyle w:val="Paragrafoelenco"/>
        <w:numPr>
          <w:ilvl w:val="0"/>
          <w:numId w:val="3"/>
        </w:numPr>
        <w:ind w:left="1134"/>
        <w:jc w:val="both"/>
        <w:rPr>
          <w:rFonts w:ascii="Arial" w:hAnsi="Arial" w:cs="Arial"/>
        </w:rPr>
      </w:pPr>
      <w:r w:rsidRPr="00261CAF">
        <w:rPr>
          <w:rFonts w:ascii="Arial" w:hAnsi="Arial" w:cs="Arial"/>
        </w:rPr>
        <w:t xml:space="preserve">Scheda A – quadro delle risorse necessarie alla realizzazione del programma; </w:t>
      </w:r>
    </w:p>
    <w:p w14:paraId="0C83B676" w14:textId="5893C9FA" w:rsidR="002952EB" w:rsidRPr="00261CAF" w:rsidRDefault="002952EB" w:rsidP="00AA573B">
      <w:pPr>
        <w:pStyle w:val="Paragrafoelenco"/>
        <w:numPr>
          <w:ilvl w:val="0"/>
          <w:numId w:val="3"/>
        </w:numPr>
        <w:ind w:left="1134"/>
        <w:jc w:val="both"/>
        <w:rPr>
          <w:rFonts w:ascii="Arial" w:hAnsi="Arial" w:cs="Arial"/>
        </w:rPr>
      </w:pPr>
      <w:r w:rsidRPr="00261CAF">
        <w:rPr>
          <w:rFonts w:ascii="Arial" w:hAnsi="Arial" w:cs="Arial"/>
        </w:rPr>
        <w:t xml:space="preserve">Scheda B – elenco delle opere incompiute; </w:t>
      </w:r>
    </w:p>
    <w:p w14:paraId="3A2B84A3" w14:textId="09CA3D81" w:rsidR="002952EB" w:rsidRPr="00261CAF" w:rsidRDefault="002952EB" w:rsidP="00AA573B">
      <w:pPr>
        <w:pStyle w:val="Paragrafoelenco"/>
        <w:numPr>
          <w:ilvl w:val="0"/>
          <w:numId w:val="3"/>
        </w:numPr>
        <w:ind w:left="1134"/>
        <w:jc w:val="both"/>
        <w:rPr>
          <w:rFonts w:ascii="Arial" w:hAnsi="Arial" w:cs="Arial"/>
        </w:rPr>
      </w:pPr>
      <w:r w:rsidRPr="00261CAF">
        <w:rPr>
          <w:rFonts w:ascii="Arial" w:hAnsi="Arial" w:cs="Arial"/>
        </w:rPr>
        <w:t xml:space="preserve">Scheda C – elenco degli immobili disponibili; </w:t>
      </w:r>
    </w:p>
    <w:p w14:paraId="3C8BDA56" w14:textId="77777777" w:rsidR="002952EB" w:rsidRPr="00261CAF" w:rsidRDefault="002952EB" w:rsidP="00AA573B">
      <w:pPr>
        <w:pStyle w:val="Paragrafoelenco"/>
        <w:numPr>
          <w:ilvl w:val="0"/>
          <w:numId w:val="3"/>
        </w:numPr>
        <w:ind w:left="1134"/>
        <w:jc w:val="both"/>
        <w:rPr>
          <w:rFonts w:ascii="Arial" w:hAnsi="Arial" w:cs="Arial"/>
        </w:rPr>
      </w:pPr>
      <w:r w:rsidRPr="00261CAF">
        <w:rPr>
          <w:rFonts w:ascii="Arial" w:hAnsi="Arial" w:cs="Arial"/>
        </w:rPr>
        <w:t xml:space="preserve">Scheda D – elenco degli interventi del programma; </w:t>
      </w:r>
    </w:p>
    <w:p w14:paraId="53C212C4" w14:textId="5C43E94F" w:rsidR="002952EB" w:rsidRPr="00261CAF" w:rsidRDefault="002952EB" w:rsidP="00AA573B">
      <w:pPr>
        <w:pStyle w:val="Paragrafoelenco"/>
        <w:numPr>
          <w:ilvl w:val="0"/>
          <w:numId w:val="3"/>
        </w:numPr>
        <w:ind w:left="1134"/>
        <w:jc w:val="both"/>
        <w:rPr>
          <w:rFonts w:ascii="Arial" w:hAnsi="Arial" w:cs="Arial"/>
        </w:rPr>
      </w:pPr>
      <w:r w:rsidRPr="00261CAF">
        <w:rPr>
          <w:rFonts w:ascii="Arial" w:hAnsi="Arial" w:cs="Arial"/>
        </w:rPr>
        <w:t xml:space="preserve"> Scheda E – interventi ricompresi nell'elenco annuale; </w:t>
      </w:r>
    </w:p>
    <w:p w14:paraId="493274B7" w14:textId="6D94D04E" w:rsidR="002952EB" w:rsidRPr="00261CAF" w:rsidRDefault="002952EB" w:rsidP="00AA573B">
      <w:pPr>
        <w:pStyle w:val="Paragrafoelenco"/>
        <w:numPr>
          <w:ilvl w:val="0"/>
          <w:numId w:val="3"/>
        </w:numPr>
        <w:ind w:left="1134"/>
        <w:jc w:val="both"/>
        <w:rPr>
          <w:rFonts w:ascii="Arial" w:hAnsi="Arial" w:cs="Arial"/>
        </w:rPr>
      </w:pPr>
      <w:r w:rsidRPr="00261CAF">
        <w:rPr>
          <w:rFonts w:ascii="Arial" w:hAnsi="Arial" w:cs="Arial"/>
        </w:rPr>
        <w:t xml:space="preserve">Scheda F – elenco degli interventi presenti nell'elenco annuale del precedente programma triennale e non riproposti e non avviati; - lo schema di programma triennale </w:t>
      </w:r>
      <w:r w:rsidRPr="00261CAF">
        <w:rPr>
          <w:rFonts w:ascii="Arial" w:hAnsi="Arial" w:cs="Arial"/>
        </w:rPr>
        <w:lastRenderedPageBreak/>
        <w:t xml:space="preserve">degli acquisti di beni e servizi per il periodo 2024/2026, redatto dallo stesso Responsabile; </w:t>
      </w:r>
    </w:p>
    <w:p w14:paraId="21EF72A4" w14:textId="6580A20A" w:rsidR="002952EB" w:rsidRPr="00261CAF" w:rsidRDefault="002952EB" w:rsidP="00AA573B">
      <w:pPr>
        <w:pStyle w:val="Paragrafoelenco"/>
        <w:numPr>
          <w:ilvl w:val="0"/>
          <w:numId w:val="3"/>
        </w:numPr>
        <w:ind w:left="1134"/>
        <w:jc w:val="both"/>
        <w:rPr>
          <w:rFonts w:ascii="Arial" w:hAnsi="Arial" w:cs="Arial"/>
        </w:rPr>
      </w:pPr>
      <w:r w:rsidRPr="00261CAF">
        <w:rPr>
          <w:rFonts w:ascii="Arial" w:hAnsi="Arial" w:cs="Arial"/>
        </w:rPr>
        <w:t xml:space="preserve">scheda G – quadro delle risorse necessarie alla realizzazione del programma; </w:t>
      </w:r>
    </w:p>
    <w:p w14:paraId="36378AC8" w14:textId="31A41D2B" w:rsidR="002952EB" w:rsidRPr="00261CAF" w:rsidRDefault="002952EB" w:rsidP="00AA573B">
      <w:pPr>
        <w:pStyle w:val="Paragrafoelenco"/>
        <w:numPr>
          <w:ilvl w:val="0"/>
          <w:numId w:val="3"/>
        </w:numPr>
        <w:ind w:left="1134"/>
        <w:jc w:val="both"/>
        <w:rPr>
          <w:rFonts w:ascii="Arial" w:hAnsi="Arial" w:cs="Arial"/>
        </w:rPr>
      </w:pPr>
      <w:r w:rsidRPr="00261CAF">
        <w:rPr>
          <w:rFonts w:ascii="Arial" w:hAnsi="Arial" w:cs="Arial"/>
        </w:rPr>
        <w:t>Scheda H – elenco degli acquisti del programma;</w:t>
      </w:r>
    </w:p>
    <w:p w14:paraId="7A14BA57" w14:textId="3C0D7EC3" w:rsidR="002952EB" w:rsidRPr="00261CAF" w:rsidRDefault="002952EB" w:rsidP="00AA573B">
      <w:pPr>
        <w:pStyle w:val="Paragrafoelenco"/>
        <w:numPr>
          <w:ilvl w:val="0"/>
          <w:numId w:val="3"/>
        </w:numPr>
        <w:ind w:left="1134"/>
        <w:jc w:val="both"/>
        <w:rPr>
          <w:rFonts w:ascii="Arial" w:hAnsi="Arial" w:cs="Arial"/>
        </w:rPr>
      </w:pPr>
      <w:r w:rsidRPr="00261CAF">
        <w:rPr>
          <w:rFonts w:ascii="Arial" w:hAnsi="Arial" w:cs="Arial"/>
        </w:rPr>
        <w:t xml:space="preserve">Scheda I – elenco degli acquisti presenti nella prima annualità del precedente programma biennale e non riproposti e non avviati; </w:t>
      </w:r>
    </w:p>
    <w:p w14:paraId="78616F85" w14:textId="77777777" w:rsidR="002952EB" w:rsidRPr="00261CAF" w:rsidRDefault="002952EB" w:rsidP="00AA573B">
      <w:pPr>
        <w:jc w:val="both"/>
        <w:rPr>
          <w:rFonts w:ascii="Arial" w:hAnsi="Arial" w:cs="Arial"/>
        </w:rPr>
      </w:pPr>
      <w:r w:rsidRPr="00261CAF">
        <w:rPr>
          <w:rFonts w:ascii="Arial" w:hAnsi="Arial" w:cs="Arial"/>
        </w:rPr>
        <w:t xml:space="preserve">Atteso che la compilazione delle schede inerenti la suddetta programmazione è stata effettuata tramite l’apposito sistema informativo telematico appalti ___________________; </w:t>
      </w:r>
    </w:p>
    <w:p w14:paraId="1E73D657" w14:textId="77777777" w:rsidR="002952EB" w:rsidRPr="00261CAF" w:rsidRDefault="002952EB" w:rsidP="00AA573B">
      <w:pPr>
        <w:jc w:val="both"/>
        <w:rPr>
          <w:rFonts w:ascii="Arial" w:hAnsi="Arial" w:cs="Arial"/>
        </w:rPr>
      </w:pPr>
      <w:r w:rsidRPr="00261CAF">
        <w:rPr>
          <w:rFonts w:ascii="Arial" w:hAnsi="Arial" w:cs="Arial"/>
        </w:rPr>
        <w:t xml:space="preserve">Ritenuto di adottare i suddetti programmi; Visto che lo stesso è stato predisposto tenendo conto delle disposizioni legislative a riguardo e degli indirizzi programmatici di questa Amministrazione, come esposto nella premessa; </w:t>
      </w:r>
    </w:p>
    <w:p w14:paraId="60C41FA1" w14:textId="77777777" w:rsidR="002952EB" w:rsidRPr="00261CAF" w:rsidRDefault="002952EB" w:rsidP="00AA573B">
      <w:pPr>
        <w:jc w:val="both"/>
        <w:rPr>
          <w:rFonts w:ascii="Arial" w:hAnsi="Arial" w:cs="Arial"/>
        </w:rPr>
      </w:pPr>
      <w:r w:rsidRPr="00261CAF">
        <w:rPr>
          <w:rFonts w:ascii="Arial" w:hAnsi="Arial" w:cs="Arial"/>
        </w:rPr>
        <w:t xml:space="preserve">Richiamati inoltre: </w:t>
      </w:r>
    </w:p>
    <w:p w14:paraId="5F82B7A3" w14:textId="4A85F5D4" w:rsidR="002952EB" w:rsidRPr="00261CAF" w:rsidRDefault="002952EB" w:rsidP="00AA573B">
      <w:pPr>
        <w:pStyle w:val="Paragrafoelenco"/>
        <w:numPr>
          <w:ilvl w:val="0"/>
          <w:numId w:val="1"/>
        </w:numPr>
        <w:jc w:val="both"/>
        <w:rPr>
          <w:rFonts w:ascii="Arial" w:hAnsi="Arial" w:cs="Arial"/>
        </w:rPr>
      </w:pPr>
      <w:r w:rsidRPr="00261CAF">
        <w:rPr>
          <w:rFonts w:ascii="Arial" w:hAnsi="Arial" w:cs="Arial"/>
        </w:rPr>
        <w:t>il decreto legislativo 23 giugno 2011, n. 118, con il quale è stata approvata la riforma dell’ordinamento contabile delle regioni e degli enti locali nota come “armonizzazione”;</w:t>
      </w:r>
    </w:p>
    <w:p w14:paraId="08F1787A" w14:textId="647E309B" w:rsidR="002952EB" w:rsidRPr="00261CAF" w:rsidRDefault="002952EB" w:rsidP="00AA573B">
      <w:pPr>
        <w:pStyle w:val="Paragrafoelenco"/>
        <w:numPr>
          <w:ilvl w:val="0"/>
          <w:numId w:val="1"/>
        </w:numPr>
        <w:jc w:val="both"/>
        <w:rPr>
          <w:rFonts w:ascii="Arial" w:hAnsi="Arial" w:cs="Arial"/>
        </w:rPr>
      </w:pPr>
      <w:r w:rsidRPr="00261CAF">
        <w:rPr>
          <w:rFonts w:ascii="Arial" w:hAnsi="Arial" w:cs="Arial"/>
        </w:rPr>
        <w:t xml:space="preserve">il principio contabile applicato della contabilità finanziaria (all. 4/2 al D.Lgs. n. 118/2011), il quale prevede che tutte le obbligazioni giuridicamente perfezionate attive e passive, che danno luogo a entrate e spese per l’Ente, devono essere imputate a bilancio quando l’obbligazione viene a scadenza, secondo un crono programma contenente i tempi di attuazione; </w:t>
      </w:r>
    </w:p>
    <w:p w14:paraId="0D2AEBC9" w14:textId="77777777" w:rsidR="002952EB" w:rsidRPr="00261CAF" w:rsidRDefault="002952EB" w:rsidP="00AA573B">
      <w:pPr>
        <w:jc w:val="both"/>
        <w:rPr>
          <w:rFonts w:ascii="Arial" w:hAnsi="Arial" w:cs="Arial"/>
        </w:rPr>
      </w:pPr>
      <w:r w:rsidRPr="00261CAF">
        <w:rPr>
          <w:rFonts w:ascii="Arial" w:hAnsi="Arial" w:cs="Arial"/>
        </w:rPr>
        <w:t>Rilevato che con l’adozione del presente atto non viene assunto alcun impegno di spesa;</w:t>
      </w:r>
    </w:p>
    <w:p w14:paraId="2F1C787D" w14:textId="5DD004A7" w:rsidR="002952EB" w:rsidRPr="00261CAF" w:rsidRDefault="002952EB" w:rsidP="00AA573B">
      <w:pPr>
        <w:jc w:val="both"/>
        <w:rPr>
          <w:rFonts w:ascii="Arial" w:hAnsi="Arial" w:cs="Arial"/>
        </w:rPr>
      </w:pPr>
      <w:r w:rsidRPr="00261CAF">
        <w:rPr>
          <w:rFonts w:ascii="Arial" w:hAnsi="Arial" w:cs="Arial"/>
        </w:rPr>
        <w:t>Dato atto che, ai sensi degli artt.147bis, comma 1 e 49, comma 1 del Testo Unico delle leggi sull’ordinamento degli enti locali, D.Lgs. 18 agosto 2000, n. 267, sulla presente proposta è stato acquisito il solo parere favorevole di regolarità tecnica da parte del Responsabile del Settore Lavori Pubblici;</w:t>
      </w:r>
    </w:p>
    <w:p w14:paraId="51BA7332" w14:textId="77777777" w:rsidR="002952EB" w:rsidRPr="00261CAF" w:rsidRDefault="002952EB" w:rsidP="00AA573B">
      <w:pPr>
        <w:jc w:val="both"/>
        <w:rPr>
          <w:rFonts w:ascii="Arial" w:hAnsi="Arial" w:cs="Arial"/>
        </w:rPr>
      </w:pPr>
      <w:r w:rsidRPr="00261CAF">
        <w:rPr>
          <w:rFonts w:ascii="Arial" w:hAnsi="Arial" w:cs="Arial"/>
        </w:rPr>
        <w:t xml:space="preserve">Visti: </w:t>
      </w:r>
    </w:p>
    <w:p w14:paraId="79544B16" w14:textId="126F1704" w:rsidR="002952EB" w:rsidRPr="00261CAF" w:rsidRDefault="002952EB" w:rsidP="00AA573B">
      <w:pPr>
        <w:pStyle w:val="Paragrafoelenco"/>
        <w:numPr>
          <w:ilvl w:val="0"/>
          <w:numId w:val="4"/>
        </w:numPr>
        <w:jc w:val="both"/>
        <w:rPr>
          <w:rFonts w:ascii="Arial" w:hAnsi="Arial" w:cs="Arial"/>
        </w:rPr>
      </w:pPr>
      <w:r w:rsidRPr="00261CAF">
        <w:rPr>
          <w:rFonts w:ascii="Arial" w:hAnsi="Arial" w:cs="Arial"/>
        </w:rPr>
        <w:t xml:space="preserve">il D.Lgs. n. 267/2000 e ss.mm.ii.; </w:t>
      </w:r>
    </w:p>
    <w:p w14:paraId="161137EF" w14:textId="7DF5A263" w:rsidR="002952EB" w:rsidRPr="00261CAF" w:rsidRDefault="002952EB" w:rsidP="00AA573B">
      <w:pPr>
        <w:pStyle w:val="Paragrafoelenco"/>
        <w:numPr>
          <w:ilvl w:val="0"/>
          <w:numId w:val="4"/>
        </w:numPr>
        <w:jc w:val="both"/>
        <w:rPr>
          <w:rFonts w:ascii="Arial" w:hAnsi="Arial" w:cs="Arial"/>
        </w:rPr>
      </w:pPr>
      <w:r w:rsidRPr="00261CAF">
        <w:rPr>
          <w:rFonts w:ascii="Arial" w:hAnsi="Arial" w:cs="Arial"/>
        </w:rPr>
        <w:t xml:space="preserve">il D.Lgs. n. 118/2011 e ss.mm.ii.; </w:t>
      </w:r>
    </w:p>
    <w:p w14:paraId="43D0E33A" w14:textId="436E40BA" w:rsidR="002952EB" w:rsidRPr="00261CAF" w:rsidRDefault="002952EB" w:rsidP="00AA573B">
      <w:pPr>
        <w:pStyle w:val="Paragrafoelenco"/>
        <w:numPr>
          <w:ilvl w:val="0"/>
          <w:numId w:val="4"/>
        </w:numPr>
        <w:jc w:val="both"/>
        <w:rPr>
          <w:rFonts w:ascii="Arial" w:hAnsi="Arial" w:cs="Arial"/>
        </w:rPr>
      </w:pPr>
      <w:r w:rsidRPr="00261CAF">
        <w:rPr>
          <w:rFonts w:ascii="Arial" w:hAnsi="Arial" w:cs="Arial"/>
        </w:rPr>
        <w:t xml:space="preserve">il D.Lgs. n. 36/2023 e ss.mm.ii.; </w:t>
      </w:r>
    </w:p>
    <w:p w14:paraId="26BBFF50" w14:textId="53B5D650" w:rsidR="002952EB" w:rsidRPr="00261CAF" w:rsidRDefault="002952EB" w:rsidP="00AA573B">
      <w:pPr>
        <w:pStyle w:val="Paragrafoelenco"/>
        <w:numPr>
          <w:ilvl w:val="0"/>
          <w:numId w:val="4"/>
        </w:numPr>
        <w:jc w:val="both"/>
        <w:rPr>
          <w:rFonts w:ascii="Arial" w:hAnsi="Arial" w:cs="Arial"/>
        </w:rPr>
      </w:pPr>
      <w:r w:rsidRPr="00261CAF">
        <w:rPr>
          <w:rFonts w:ascii="Arial" w:hAnsi="Arial" w:cs="Arial"/>
        </w:rPr>
        <w:t xml:space="preserve">lo Statuto comunale; </w:t>
      </w:r>
    </w:p>
    <w:p w14:paraId="4FD2C388" w14:textId="63A40761" w:rsidR="002952EB" w:rsidRPr="00261CAF" w:rsidRDefault="002952EB" w:rsidP="00AA573B">
      <w:pPr>
        <w:jc w:val="both"/>
        <w:rPr>
          <w:rFonts w:ascii="Arial" w:hAnsi="Arial" w:cs="Arial"/>
        </w:rPr>
      </w:pPr>
      <w:r w:rsidRPr="00261CAF">
        <w:rPr>
          <w:rFonts w:ascii="Arial" w:hAnsi="Arial" w:cs="Arial"/>
        </w:rPr>
        <w:t xml:space="preserve">Richiamata la normativa vigente in materia; </w:t>
      </w:r>
    </w:p>
    <w:p w14:paraId="7D8D37E4" w14:textId="77777777" w:rsidR="002952EB" w:rsidRPr="00261CAF" w:rsidRDefault="002952EB" w:rsidP="00AA573B">
      <w:pPr>
        <w:jc w:val="both"/>
        <w:rPr>
          <w:rFonts w:ascii="Arial" w:hAnsi="Arial" w:cs="Arial"/>
        </w:rPr>
      </w:pPr>
      <w:r w:rsidRPr="00261CAF">
        <w:rPr>
          <w:rFonts w:ascii="Arial" w:hAnsi="Arial" w:cs="Arial"/>
        </w:rPr>
        <w:t xml:space="preserve">Con votazione unanime favorevole, espressa nei modi e forme di legge; </w:t>
      </w:r>
    </w:p>
    <w:p w14:paraId="5AA62BB9" w14:textId="33E83D5C" w:rsidR="002952EB" w:rsidRPr="00261CAF" w:rsidRDefault="002952EB" w:rsidP="00261CAF">
      <w:pPr>
        <w:jc w:val="center"/>
        <w:rPr>
          <w:rFonts w:ascii="Arial" w:hAnsi="Arial" w:cs="Arial"/>
          <w:b/>
          <w:bCs/>
        </w:rPr>
      </w:pPr>
      <w:r w:rsidRPr="00261CAF">
        <w:rPr>
          <w:rFonts w:ascii="Arial" w:hAnsi="Arial" w:cs="Arial"/>
          <w:b/>
          <w:bCs/>
        </w:rPr>
        <w:t>DELIBERA</w:t>
      </w:r>
    </w:p>
    <w:p w14:paraId="1656616F" w14:textId="2DA62A01" w:rsidR="002952EB" w:rsidRPr="00261CAF" w:rsidRDefault="002952EB" w:rsidP="00AA573B">
      <w:pPr>
        <w:jc w:val="both"/>
        <w:rPr>
          <w:rFonts w:ascii="Arial" w:hAnsi="Arial" w:cs="Arial"/>
        </w:rPr>
      </w:pPr>
      <w:r w:rsidRPr="00261CAF">
        <w:rPr>
          <w:rFonts w:ascii="Arial" w:hAnsi="Arial" w:cs="Arial"/>
        </w:rPr>
        <w:t>1) DI APPROVARE le premesse quale parte integrante e sostanziale del presente atto;</w:t>
      </w:r>
    </w:p>
    <w:p w14:paraId="52ED5CE9" w14:textId="77777777" w:rsidR="002952EB" w:rsidRPr="00261CAF" w:rsidRDefault="002952EB" w:rsidP="00AA573B">
      <w:pPr>
        <w:jc w:val="both"/>
        <w:rPr>
          <w:rFonts w:ascii="Arial" w:hAnsi="Arial" w:cs="Arial"/>
        </w:rPr>
      </w:pPr>
      <w:r w:rsidRPr="00261CAF">
        <w:rPr>
          <w:rFonts w:ascii="Arial" w:hAnsi="Arial" w:cs="Arial"/>
        </w:rPr>
        <w:t xml:space="preserve"> 2) DI ADOTTARE, ai sensi 37, commi 1, 2 e 3, del D.Lgs. 36/2023 e dell’art. 5 dell’allegato I.5 allo stesso decreto: </w:t>
      </w:r>
    </w:p>
    <w:p w14:paraId="229329CA" w14:textId="104F72A2" w:rsidR="002952EB" w:rsidRPr="00261CAF" w:rsidRDefault="002952EB" w:rsidP="00AA573B">
      <w:pPr>
        <w:jc w:val="both"/>
        <w:rPr>
          <w:rFonts w:ascii="Arial" w:hAnsi="Arial" w:cs="Arial"/>
        </w:rPr>
      </w:pPr>
      <w:r w:rsidRPr="00261CAF">
        <w:rPr>
          <w:rFonts w:ascii="Arial" w:hAnsi="Arial" w:cs="Arial"/>
        </w:rPr>
        <w:t xml:space="preserve">a) il programma triennale dei lavori pubblici 2024/2026 e relativo elenco annuale 2025, costituito dalle seguenti schede, allegate al presente provvedimento quale parte integrante e sostanziale: </w:t>
      </w:r>
    </w:p>
    <w:p w14:paraId="0FA319BF" w14:textId="6BD2991E" w:rsidR="002952EB" w:rsidRPr="00261CAF" w:rsidRDefault="002952EB" w:rsidP="00AA573B">
      <w:pPr>
        <w:pStyle w:val="Paragrafoelenco"/>
        <w:numPr>
          <w:ilvl w:val="0"/>
          <w:numId w:val="11"/>
        </w:numPr>
        <w:jc w:val="both"/>
        <w:rPr>
          <w:rFonts w:ascii="Arial" w:hAnsi="Arial" w:cs="Arial"/>
        </w:rPr>
      </w:pPr>
      <w:r w:rsidRPr="00261CAF">
        <w:rPr>
          <w:rFonts w:ascii="Arial" w:hAnsi="Arial" w:cs="Arial"/>
        </w:rPr>
        <w:t xml:space="preserve">Scheda A – quadro delle risorse necessarie alla realizzazione del programma; </w:t>
      </w:r>
    </w:p>
    <w:p w14:paraId="6BAFDBE9" w14:textId="3A52121E" w:rsidR="002952EB" w:rsidRPr="00261CAF" w:rsidRDefault="002952EB" w:rsidP="00AA573B">
      <w:pPr>
        <w:pStyle w:val="Paragrafoelenco"/>
        <w:numPr>
          <w:ilvl w:val="0"/>
          <w:numId w:val="11"/>
        </w:numPr>
        <w:jc w:val="both"/>
        <w:rPr>
          <w:rFonts w:ascii="Arial" w:hAnsi="Arial" w:cs="Arial"/>
        </w:rPr>
      </w:pPr>
      <w:r w:rsidRPr="00261CAF">
        <w:rPr>
          <w:rFonts w:ascii="Arial" w:hAnsi="Arial" w:cs="Arial"/>
        </w:rPr>
        <w:t xml:space="preserve">Scheda B – elenco delle opere incompiute; </w:t>
      </w:r>
    </w:p>
    <w:p w14:paraId="3D670737" w14:textId="69042D6F" w:rsidR="002952EB" w:rsidRPr="00261CAF" w:rsidRDefault="002952EB" w:rsidP="00AA573B">
      <w:pPr>
        <w:pStyle w:val="Paragrafoelenco"/>
        <w:numPr>
          <w:ilvl w:val="0"/>
          <w:numId w:val="11"/>
        </w:numPr>
        <w:jc w:val="both"/>
        <w:rPr>
          <w:rFonts w:ascii="Arial" w:hAnsi="Arial" w:cs="Arial"/>
        </w:rPr>
      </w:pPr>
      <w:r w:rsidRPr="00261CAF">
        <w:rPr>
          <w:rFonts w:ascii="Arial" w:hAnsi="Arial" w:cs="Arial"/>
        </w:rPr>
        <w:t xml:space="preserve">Scheda C – elenco degli immobili disponibili; </w:t>
      </w:r>
    </w:p>
    <w:p w14:paraId="74B4E5E0" w14:textId="1C14A284" w:rsidR="002952EB" w:rsidRPr="00261CAF" w:rsidRDefault="002952EB" w:rsidP="00AA573B">
      <w:pPr>
        <w:pStyle w:val="Paragrafoelenco"/>
        <w:numPr>
          <w:ilvl w:val="0"/>
          <w:numId w:val="11"/>
        </w:numPr>
        <w:jc w:val="both"/>
        <w:rPr>
          <w:rFonts w:ascii="Arial" w:hAnsi="Arial" w:cs="Arial"/>
        </w:rPr>
      </w:pPr>
      <w:r w:rsidRPr="00261CAF">
        <w:rPr>
          <w:rFonts w:ascii="Arial" w:hAnsi="Arial" w:cs="Arial"/>
        </w:rPr>
        <w:t xml:space="preserve">Scheda D – elenco degli interventi del programma; </w:t>
      </w:r>
    </w:p>
    <w:p w14:paraId="5D9ABC72" w14:textId="782AF7F9" w:rsidR="002952EB" w:rsidRPr="00261CAF" w:rsidRDefault="002952EB" w:rsidP="00AA573B">
      <w:pPr>
        <w:pStyle w:val="Paragrafoelenco"/>
        <w:numPr>
          <w:ilvl w:val="0"/>
          <w:numId w:val="11"/>
        </w:numPr>
        <w:jc w:val="both"/>
        <w:rPr>
          <w:rFonts w:ascii="Arial" w:hAnsi="Arial" w:cs="Arial"/>
        </w:rPr>
      </w:pPr>
      <w:r w:rsidRPr="00261CAF">
        <w:rPr>
          <w:rFonts w:ascii="Arial" w:hAnsi="Arial" w:cs="Arial"/>
        </w:rPr>
        <w:lastRenderedPageBreak/>
        <w:t xml:space="preserve">Scheda E – interventi ricompresi nell'elenco annuale; </w:t>
      </w:r>
    </w:p>
    <w:p w14:paraId="0EBB63A8" w14:textId="1D5BB6A8" w:rsidR="002952EB" w:rsidRPr="00261CAF" w:rsidRDefault="002952EB" w:rsidP="00AA573B">
      <w:pPr>
        <w:pStyle w:val="Paragrafoelenco"/>
        <w:numPr>
          <w:ilvl w:val="0"/>
          <w:numId w:val="11"/>
        </w:numPr>
        <w:jc w:val="both"/>
        <w:rPr>
          <w:rFonts w:ascii="Arial" w:hAnsi="Arial" w:cs="Arial"/>
        </w:rPr>
      </w:pPr>
      <w:r w:rsidRPr="00261CAF">
        <w:rPr>
          <w:rFonts w:ascii="Arial" w:hAnsi="Arial" w:cs="Arial"/>
        </w:rPr>
        <w:t>Scheda F – elenco degli interventi presenti nell'elenco annuale del precedente programma triennale e non riproposti e non avviati;</w:t>
      </w:r>
    </w:p>
    <w:p w14:paraId="66131A46" w14:textId="45EACD51" w:rsidR="002952EB" w:rsidRPr="00261CAF" w:rsidRDefault="002952EB" w:rsidP="00AA573B">
      <w:pPr>
        <w:jc w:val="both"/>
        <w:rPr>
          <w:rFonts w:ascii="Arial" w:hAnsi="Arial" w:cs="Arial"/>
        </w:rPr>
      </w:pPr>
      <w:r w:rsidRPr="00261CAF">
        <w:rPr>
          <w:rFonts w:ascii="Arial" w:hAnsi="Arial" w:cs="Arial"/>
        </w:rPr>
        <w:t xml:space="preserve">b) il programma triennale degli acquisti di beni e servizi per il periodo 2024/2026, redatto dallo stesso Responsabile, costituito dalle seguenti schede, allegate al presente provvedimento quale parte integrante e sostanziale: </w:t>
      </w:r>
    </w:p>
    <w:p w14:paraId="6032A647" w14:textId="6A315374" w:rsidR="002952EB" w:rsidRPr="00261CAF" w:rsidRDefault="002952EB" w:rsidP="00AA573B">
      <w:pPr>
        <w:pStyle w:val="Paragrafoelenco"/>
        <w:numPr>
          <w:ilvl w:val="0"/>
          <w:numId w:val="10"/>
        </w:numPr>
        <w:jc w:val="both"/>
        <w:rPr>
          <w:rFonts w:ascii="Arial" w:hAnsi="Arial" w:cs="Arial"/>
        </w:rPr>
      </w:pPr>
      <w:r w:rsidRPr="00261CAF">
        <w:rPr>
          <w:rFonts w:ascii="Arial" w:hAnsi="Arial" w:cs="Arial"/>
        </w:rPr>
        <w:t xml:space="preserve">scheda G – quadro delle risorse necessarie alla realizzazione del programma; </w:t>
      </w:r>
    </w:p>
    <w:p w14:paraId="1275E229" w14:textId="547287EA" w:rsidR="002952EB" w:rsidRPr="00261CAF" w:rsidRDefault="002952EB" w:rsidP="00AA573B">
      <w:pPr>
        <w:pStyle w:val="Paragrafoelenco"/>
        <w:numPr>
          <w:ilvl w:val="0"/>
          <w:numId w:val="10"/>
        </w:numPr>
        <w:jc w:val="both"/>
        <w:rPr>
          <w:rFonts w:ascii="Arial" w:hAnsi="Arial" w:cs="Arial"/>
        </w:rPr>
      </w:pPr>
      <w:r w:rsidRPr="00261CAF">
        <w:rPr>
          <w:rFonts w:ascii="Arial" w:hAnsi="Arial" w:cs="Arial"/>
        </w:rPr>
        <w:t xml:space="preserve">Scheda H – elenco degli acquisti del programma; </w:t>
      </w:r>
    </w:p>
    <w:p w14:paraId="3990095B" w14:textId="413413AB" w:rsidR="002952EB" w:rsidRPr="00261CAF" w:rsidRDefault="002952EB" w:rsidP="00AA573B">
      <w:pPr>
        <w:pStyle w:val="Paragrafoelenco"/>
        <w:numPr>
          <w:ilvl w:val="0"/>
          <w:numId w:val="10"/>
        </w:numPr>
        <w:jc w:val="both"/>
        <w:rPr>
          <w:rFonts w:ascii="Arial" w:hAnsi="Arial" w:cs="Arial"/>
        </w:rPr>
      </w:pPr>
      <w:r w:rsidRPr="00261CAF">
        <w:rPr>
          <w:rFonts w:ascii="Arial" w:hAnsi="Arial" w:cs="Arial"/>
        </w:rPr>
        <w:t xml:space="preserve">Scheda I – elenco degli acquisti presenti nella prima annualità del precedente programma biennale e non riproposti e non avviati; </w:t>
      </w:r>
    </w:p>
    <w:p w14:paraId="3A6612B0" w14:textId="1B462EE4" w:rsidR="002952EB" w:rsidRPr="00261CAF" w:rsidRDefault="002952EB" w:rsidP="00AA573B">
      <w:pPr>
        <w:jc w:val="both"/>
        <w:rPr>
          <w:rFonts w:ascii="Arial" w:hAnsi="Arial" w:cs="Arial"/>
        </w:rPr>
      </w:pPr>
      <w:r w:rsidRPr="00261CAF">
        <w:rPr>
          <w:rFonts w:ascii="Arial" w:hAnsi="Arial" w:cs="Arial"/>
        </w:rPr>
        <w:t>3) DI DARE ATTO, ai sensi dell’art. 3, comma 13, dell’allegato I.5 al D.Lgs. n. 36/2023 e ss.mm.ii. che il soggetto referente per la redazione del programma triennale dei lavori pubblici è la Dott.ssa ________;</w:t>
      </w:r>
    </w:p>
    <w:p w14:paraId="6DAD8234" w14:textId="77777777" w:rsidR="002952EB" w:rsidRPr="00261CAF" w:rsidRDefault="002952EB" w:rsidP="00AA573B">
      <w:pPr>
        <w:jc w:val="both"/>
        <w:rPr>
          <w:rFonts w:ascii="Arial" w:hAnsi="Arial" w:cs="Arial"/>
        </w:rPr>
      </w:pPr>
      <w:r w:rsidRPr="00261CAF">
        <w:rPr>
          <w:rFonts w:ascii="Arial" w:hAnsi="Arial" w:cs="Arial"/>
        </w:rPr>
        <w:t xml:space="preserve">4) DI PUBBLICARE i programmi per 30 giorni consecutivi nel sito istituzionale del Comune e sull’Albo Pretorio, dandone comunicazione alla Banca dati nazionale dei contratti pubblici ai sensi dell’art. 5 dell’allegato I.5 al D.Lgs. 36/2023, al fine della presentazione di eventuali osservazioni nei successivi trenta giorni e per la successiva approvazione definitiva entro i successivi trenta giorni; </w:t>
      </w:r>
    </w:p>
    <w:p w14:paraId="3C00BAF3" w14:textId="77777777" w:rsidR="002952EB" w:rsidRPr="00261CAF" w:rsidRDefault="002952EB" w:rsidP="00AA573B">
      <w:pPr>
        <w:jc w:val="both"/>
        <w:rPr>
          <w:rFonts w:ascii="Arial" w:hAnsi="Arial" w:cs="Arial"/>
        </w:rPr>
      </w:pPr>
      <w:r w:rsidRPr="00261CAF">
        <w:rPr>
          <w:rFonts w:ascii="Arial" w:hAnsi="Arial" w:cs="Arial"/>
        </w:rPr>
        <w:t xml:space="preserve">5) DI PRECISARE che l’adozione del presente provvedimento non comporta assunzione di alcun impegno di spesa; </w:t>
      </w:r>
    </w:p>
    <w:p w14:paraId="3674BFC6" w14:textId="77777777" w:rsidR="002952EB" w:rsidRPr="00261CAF" w:rsidRDefault="002952EB" w:rsidP="00AA573B">
      <w:pPr>
        <w:jc w:val="both"/>
        <w:rPr>
          <w:rFonts w:ascii="Arial" w:hAnsi="Arial" w:cs="Arial"/>
        </w:rPr>
      </w:pPr>
      <w:r w:rsidRPr="00261CAF">
        <w:rPr>
          <w:rFonts w:ascii="Arial" w:hAnsi="Arial" w:cs="Arial"/>
        </w:rPr>
        <w:t xml:space="preserve">6) DI DARE ATTO che l’indicazione relativa alle risorse necessarie per il finanziamento degli interventi previsti dal piano è da intendersi provvisoria e presunta poiché da sottoporre ad ulteriori verifiche in sede di elaborazione del bilancio di previsione triennio 2024-2025-2026; </w:t>
      </w:r>
    </w:p>
    <w:p w14:paraId="38DD4639" w14:textId="77777777" w:rsidR="002952EB" w:rsidRPr="00261CAF" w:rsidRDefault="002952EB" w:rsidP="00AA573B">
      <w:pPr>
        <w:jc w:val="both"/>
        <w:rPr>
          <w:rFonts w:ascii="Arial" w:hAnsi="Arial" w:cs="Arial"/>
        </w:rPr>
      </w:pPr>
      <w:r w:rsidRPr="00261CAF">
        <w:rPr>
          <w:rFonts w:ascii="Arial" w:hAnsi="Arial" w:cs="Arial"/>
        </w:rPr>
        <w:t xml:space="preserve">7) DI RECEPIRE i suddetti schemi di programmazione nel Documento Unico di Programmazione al fine di sottoporli al Consiglio Comunale per la necessaria approvazione; Infine, stante l’urgenza di provvedere, con votazione unanime espressa nei modi e forme di legge; </w:t>
      </w:r>
    </w:p>
    <w:p w14:paraId="58E470A7" w14:textId="77777777" w:rsidR="002952EB" w:rsidRPr="00261CAF" w:rsidRDefault="002952EB" w:rsidP="00261CAF">
      <w:pPr>
        <w:jc w:val="center"/>
        <w:rPr>
          <w:rFonts w:ascii="Arial" w:hAnsi="Arial" w:cs="Arial"/>
          <w:b/>
          <w:bCs/>
        </w:rPr>
      </w:pPr>
      <w:r w:rsidRPr="00261CAF">
        <w:rPr>
          <w:rFonts w:ascii="Arial" w:hAnsi="Arial" w:cs="Arial"/>
          <w:b/>
          <w:bCs/>
        </w:rPr>
        <w:t>DELIBERA</w:t>
      </w:r>
    </w:p>
    <w:p w14:paraId="10C9AD2D" w14:textId="1BDBC36A" w:rsidR="002952EB" w:rsidRPr="00261CAF" w:rsidRDefault="002952EB" w:rsidP="00AA573B">
      <w:pPr>
        <w:jc w:val="both"/>
        <w:rPr>
          <w:rFonts w:ascii="Arial" w:hAnsi="Arial" w:cs="Arial"/>
        </w:rPr>
      </w:pPr>
      <w:r w:rsidRPr="00261CAF">
        <w:rPr>
          <w:rFonts w:ascii="Arial" w:hAnsi="Arial" w:cs="Arial"/>
        </w:rPr>
        <w:t xml:space="preserve"> DI RENDERE il presente atto immediatamente eseguibile ai sensi dell’art. 134, comma 4, del D.Lgs. n. 267/2000, considerata l’urgenza di inserire la programmazione all’interno dei documenti di programmazione e bilancio.</w:t>
      </w:r>
    </w:p>
    <w:p w14:paraId="6CED1DC8" w14:textId="77777777" w:rsidR="00BE09BF" w:rsidRPr="00261CAF" w:rsidRDefault="00BE09BF" w:rsidP="00AA573B">
      <w:pPr>
        <w:jc w:val="both"/>
        <w:rPr>
          <w:rFonts w:ascii="Arial" w:hAnsi="Arial" w:cs="Arial"/>
        </w:rPr>
      </w:pPr>
    </w:p>
    <w:p w14:paraId="1148B105" w14:textId="77777777" w:rsidR="00BE09BF" w:rsidRPr="00261CAF" w:rsidRDefault="00BE09BF" w:rsidP="00AA573B">
      <w:pPr>
        <w:jc w:val="both"/>
        <w:rPr>
          <w:rFonts w:ascii="Arial" w:hAnsi="Arial" w:cs="Arial"/>
        </w:rPr>
      </w:pPr>
    </w:p>
    <w:p w14:paraId="3870FE91" w14:textId="77777777" w:rsidR="00BE09BF" w:rsidRPr="00261CAF" w:rsidRDefault="00BE09BF" w:rsidP="00AA573B">
      <w:pPr>
        <w:jc w:val="both"/>
        <w:rPr>
          <w:rFonts w:ascii="Arial" w:hAnsi="Arial" w:cs="Arial"/>
        </w:rPr>
      </w:pPr>
    </w:p>
    <w:p w14:paraId="5DE1ACDE" w14:textId="549EBEA2" w:rsidR="00BE09BF" w:rsidRPr="00261CAF" w:rsidRDefault="00BE09BF" w:rsidP="00AA573B">
      <w:pPr>
        <w:jc w:val="both"/>
        <w:rPr>
          <w:rFonts w:ascii="Arial" w:hAnsi="Arial" w:cs="Arial"/>
        </w:rPr>
      </w:pPr>
    </w:p>
    <w:sectPr w:rsidR="00BE09BF" w:rsidRPr="00261CA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6B514" w14:textId="77777777" w:rsidR="00AB2530" w:rsidRDefault="00AB2530" w:rsidP="00710144">
      <w:pPr>
        <w:spacing w:after="0" w:line="240" w:lineRule="auto"/>
      </w:pPr>
      <w:r>
        <w:separator/>
      </w:r>
    </w:p>
  </w:endnote>
  <w:endnote w:type="continuationSeparator" w:id="0">
    <w:p w14:paraId="1B51C311" w14:textId="77777777" w:rsidR="00AB2530" w:rsidRDefault="00AB2530" w:rsidP="0071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212DC" w14:textId="77777777" w:rsidR="00710144" w:rsidRDefault="007101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58EC" w14:textId="46422E65" w:rsidR="00710144" w:rsidRDefault="00710144" w:rsidP="00710144">
    <w:pPr>
      <w:pStyle w:val="Pidipagina"/>
      <w:jc w:val="center"/>
    </w:pPr>
    <w:r w:rsidRPr="0096609D">
      <w:rPr>
        <w:noProof/>
      </w:rPr>
      <w:drawing>
        <wp:inline distT="0" distB="0" distL="0" distR="0" wp14:anchorId="73FAAA5C" wp14:editId="72668B2C">
          <wp:extent cx="1609725" cy="4572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57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BA120" w14:textId="77777777" w:rsidR="00710144" w:rsidRDefault="007101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B9BA0" w14:textId="77777777" w:rsidR="00AB2530" w:rsidRDefault="00AB2530" w:rsidP="00710144">
      <w:pPr>
        <w:spacing w:after="0" w:line="240" w:lineRule="auto"/>
      </w:pPr>
      <w:r>
        <w:separator/>
      </w:r>
    </w:p>
  </w:footnote>
  <w:footnote w:type="continuationSeparator" w:id="0">
    <w:p w14:paraId="04F8A382" w14:textId="77777777" w:rsidR="00AB2530" w:rsidRDefault="00AB2530" w:rsidP="00710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974F9" w14:textId="77777777" w:rsidR="00710144" w:rsidRDefault="007101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795A1" w14:textId="77777777" w:rsidR="00710144" w:rsidRDefault="0071014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D6DAE" w14:textId="77777777" w:rsidR="00710144" w:rsidRDefault="007101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3BBB"/>
    <w:multiLevelType w:val="hybridMultilevel"/>
    <w:tmpl w:val="468A6DFA"/>
    <w:lvl w:ilvl="0" w:tplc="A0F6A9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5D2F5A"/>
    <w:multiLevelType w:val="hybridMultilevel"/>
    <w:tmpl w:val="82847C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DB692A"/>
    <w:multiLevelType w:val="hybridMultilevel"/>
    <w:tmpl w:val="8698FA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3C3E53"/>
    <w:multiLevelType w:val="hybridMultilevel"/>
    <w:tmpl w:val="853CEB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821576"/>
    <w:multiLevelType w:val="hybridMultilevel"/>
    <w:tmpl w:val="24869D54"/>
    <w:lvl w:ilvl="0" w:tplc="9EA825BC">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D437F3"/>
    <w:multiLevelType w:val="hybridMultilevel"/>
    <w:tmpl w:val="422CE3F2"/>
    <w:lvl w:ilvl="0" w:tplc="A0F6A9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F24B73"/>
    <w:multiLevelType w:val="hybridMultilevel"/>
    <w:tmpl w:val="5EBA5B6C"/>
    <w:lvl w:ilvl="0" w:tplc="A0F6A9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6A031F"/>
    <w:multiLevelType w:val="hybridMultilevel"/>
    <w:tmpl w:val="2430CF20"/>
    <w:lvl w:ilvl="0" w:tplc="9D484E96">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3661AF"/>
    <w:multiLevelType w:val="hybridMultilevel"/>
    <w:tmpl w:val="8D50D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2561F9"/>
    <w:multiLevelType w:val="hybridMultilevel"/>
    <w:tmpl w:val="A8BE20E0"/>
    <w:lvl w:ilvl="0" w:tplc="02CC8B0A">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8D95D8C"/>
    <w:multiLevelType w:val="hybridMultilevel"/>
    <w:tmpl w:val="73DA0DF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4009207">
    <w:abstractNumId w:val="1"/>
  </w:num>
  <w:num w:numId="2" w16cid:durableId="811748498">
    <w:abstractNumId w:val="10"/>
  </w:num>
  <w:num w:numId="3" w16cid:durableId="371618353">
    <w:abstractNumId w:val="3"/>
  </w:num>
  <w:num w:numId="4" w16cid:durableId="462770010">
    <w:abstractNumId w:val="0"/>
  </w:num>
  <w:num w:numId="5" w16cid:durableId="1364402763">
    <w:abstractNumId w:val="4"/>
  </w:num>
  <w:num w:numId="6" w16cid:durableId="480268627">
    <w:abstractNumId w:val="5"/>
  </w:num>
  <w:num w:numId="7" w16cid:durableId="1013651482">
    <w:abstractNumId w:val="7"/>
  </w:num>
  <w:num w:numId="8" w16cid:durableId="1726638067">
    <w:abstractNumId w:val="6"/>
  </w:num>
  <w:num w:numId="9" w16cid:durableId="63186202">
    <w:abstractNumId w:val="9"/>
  </w:num>
  <w:num w:numId="10" w16cid:durableId="2108843923">
    <w:abstractNumId w:val="8"/>
  </w:num>
  <w:num w:numId="11" w16cid:durableId="1703746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EB"/>
    <w:rsid w:val="0008112E"/>
    <w:rsid w:val="001B7ABC"/>
    <w:rsid w:val="001F2354"/>
    <w:rsid w:val="00261CAF"/>
    <w:rsid w:val="002952EB"/>
    <w:rsid w:val="002B6EB2"/>
    <w:rsid w:val="00341F96"/>
    <w:rsid w:val="00673C14"/>
    <w:rsid w:val="00710144"/>
    <w:rsid w:val="00A6056D"/>
    <w:rsid w:val="00AA573B"/>
    <w:rsid w:val="00AB2530"/>
    <w:rsid w:val="00BE0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1539"/>
  <w15:chartTrackingRefBased/>
  <w15:docId w15:val="{359B905D-4193-4E0A-9C17-FAA75C00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52EB"/>
    <w:pPr>
      <w:ind w:left="720"/>
      <w:contextualSpacing/>
    </w:pPr>
  </w:style>
  <w:style w:type="paragraph" w:styleId="Intestazione">
    <w:name w:val="header"/>
    <w:basedOn w:val="Normale"/>
    <w:link w:val="IntestazioneCarattere"/>
    <w:uiPriority w:val="99"/>
    <w:unhideWhenUsed/>
    <w:rsid w:val="007101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0144"/>
  </w:style>
  <w:style w:type="paragraph" w:styleId="Pidipagina">
    <w:name w:val="footer"/>
    <w:basedOn w:val="Normale"/>
    <w:link w:val="PidipaginaCarattere"/>
    <w:uiPriority w:val="99"/>
    <w:unhideWhenUsed/>
    <w:rsid w:val="007101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0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6710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Giada Vello</dc:creator>
  <cp:keywords/>
  <dc:description/>
  <cp:lastModifiedBy>Giada Vello</cp:lastModifiedBy>
  <cp:revision>2</cp:revision>
  <dcterms:created xsi:type="dcterms:W3CDTF">2024-04-24T08:00:00Z</dcterms:created>
  <dcterms:modified xsi:type="dcterms:W3CDTF">2024-04-24T08:00:00Z</dcterms:modified>
</cp:coreProperties>
</file>