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A8" w:rsidRDefault="008965A8" w:rsidP="008965A8">
      <w:pPr>
        <w:jc w:val="center"/>
        <w:rPr>
          <w:b/>
          <w:kern w:val="36"/>
          <w:lang w:eastAsia="it-IT"/>
        </w:rPr>
      </w:pPr>
      <w:r>
        <w:rPr>
          <w:b/>
          <w:kern w:val="36"/>
          <w:lang w:eastAsia="it-IT"/>
        </w:rPr>
        <w:t>Presidenza del Consiglio dei Ministri # Italia Sicura</w:t>
      </w:r>
    </w:p>
    <w:p w:rsidR="008965A8" w:rsidRPr="008965A8" w:rsidRDefault="008965A8" w:rsidP="008965A8">
      <w:pPr>
        <w:rPr>
          <w:b/>
          <w:kern w:val="36"/>
          <w:lang w:eastAsia="it-IT"/>
        </w:rPr>
      </w:pPr>
      <w:r w:rsidRPr="008965A8">
        <w:rPr>
          <w:b/>
          <w:kern w:val="36"/>
          <w:lang w:eastAsia="it-IT"/>
        </w:rPr>
        <w:t>Conferenza Stato Regioni approva costruzione di nuove scuole con investimenti Inail</w:t>
      </w:r>
    </w:p>
    <w:p w:rsidR="008965A8" w:rsidRPr="008965A8" w:rsidRDefault="008965A8" w:rsidP="008965A8">
      <w:pPr>
        <w:rPr>
          <w:color w:val="1276DC"/>
          <w:sz w:val="27"/>
          <w:szCs w:val="27"/>
          <w:lang w:eastAsia="it-IT"/>
        </w:rPr>
      </w:pPr>
      <w:r w:rsidRPr="008965A8">
        <w:rPr>
          <w:color w:val="1276DC"/>
          <w:sz w:val="27"/>
          <w:szCs w:val="27"/>
          <w:lang w:eastAsia="it-IT"/>
        </w:rPr>
        <w:t xml:space="preserve">05/10/2017 </w:t>
      </w:r>
    </w:p>
    <w:p w:rsidR="008965A8" w:rsidRPr="008965A8" w:rsidRDefault="008965A8" w:rsidP="008965A8">
      <w:pPr>
        <w:spacing w:before="100" w:beforeAutospacing="1" w:after="150" w:line="240" w:lineRule="auto"/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</w:pPr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 xml:space="preserve">Approvato oggi in conferenza Stato Regioni lo schema del </w:t>
      </w:r>
      <w:proofErr w:type="spellStart"/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>Dpcm</w:t>
      </w:r>
      <w:proofErr w:type="spellEnd"/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 xml:space="preserve"> di attuazione dell’articolo 1, comma 85, della legge 11 dicembre 2016, n. 232 (legge di bilancio 2017), relativo alla realizzazione di </w:t>
      </w:r>
      <w:r w:rsidRPr="008965A8">
        <w:rPr>
          <w:rFonts w:ascii="dinbold" w:eastAsia="Times New Roman" w:hAnsi="dinbold" w:cs="Helvetica"/>
          <w:color w:val="5A6772"/>
          <w:sz w:val="27"/>
          <w:szCs w:val="27"/>
          <w:lang w:eastAsia="it-IT"/>
        </w:rPr>
        <w:t>nuove scuole</w:t>
      </w:r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 xml:space="preserve"> finanziate con investimenti immobiliari Inail.</w:t>
      </w:r>
    </w:p>
    <w:p w:rsidR="008965A8" w:rsidRPr="008965A8" w:rsidRDefault="008965A8" w:rsidP="008965A8">
      <w:pPr>
        <w:spacing w:before="100" w:beforeAutospacing="1" w:after="150" w:line="240" w:lineRule="auto"/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</w:pPr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 xml:space="preserve">I </w:t>
      </w:r>
      <w:r w:rsidRPr="008965A8">
        <w:rPr>
          <w:rFonts w:ascii="dinbold" w:eastAsia="Times New Roman" w:hAnsi="dinbold" w:cs="Helvetica"/>
          <w:color w:val="5A6772"/>
          <w:sz w:val="27"/>
          <w:szCs w:val="27"/>
          <w:lang w:eastAsia="it-IT"/>
        </w:rPr>
        <w:t xml:space="preserve">100 milioni </w:t>
      </w:r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 xml:space="preserve">stanziati per l’operazione sono stati suddivisi tra </w:t>
      </w:r>
      <w:r w:rsidRPr="008965A8">
        <w:rPr>
          <w:rFonts w:ascii="dinbold" w:eastAsia="Times New Roman" w:hAnsi="dinbold" w:cs="Helvetica"/>
          <w:color w:val="5A6772"/>
          <w:sz w:val="27"/>
          <w:szCs w:val="27"/>
          <w:lang w:eastAsia="it-IT"/>
        </w:rPr>
        <w:t>10 Regioni</w:t>
      </w:r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 xml:space="preserve">, che hanno dichiarato la propria disponibilità ad aderire all’operazione, sostenendo il canone che </w:t>
      </w:r>
      <w:r w:rsidRPr="008965A8">
        <w:rPr>
          <w:rFonts w:ascii="dinbold" w:eastAsia="Times New Roman" w:hAnsi="dinbold" w:cs="Helvetica"/>
          <w:color w:val="5A6772"/>
          <w:sz w:val="27"/>
          <w:szCs w:val="27"/>
          <w:lang w:eastAsia="it-IT"/>
        </w:rPr>
        <w:t xml:space="preserve">Inail </w:t>
      </w:r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 xml:space="preserve">richiede: Abruzzo, Basilicata, Campania, Emilia Romagna, Friuli Venezia Giulia, Liguria, Marche, Piemonte, Sardegna e Umbria. Come l’operazione </w:t>
      </w:r>
      <w:proofErr w:type="spellStart"/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>#scuoleinnovative</w:t>
      </w:r>
      <w:proofErr w:type="spellEnd"/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 xml:space="preserve">, sostenuta dal canone </w:t>
      </w:r>
      <w:proofErr w:type="spellStart"/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>Miur</w:t>
      </w:r>
      <w:proofErr w:type="spellEnd"/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 xml:space="preserve"> e avviata nel 2015, anche questa è finalizzata alla realizzazione di nuovi edifici scolastici innovativi dal punto di vista architettonico, impiantistico, tecnologico, dell’efficienza energetica e della sicurezza strutturale e antisismica, caratterizzati dalla presenza di nuovi ambienti di apprendimento e dall’apertura al territorio.</w:t>
      </w:r>
    </w:p>
    <w:p w:rsidR="008965A8" w:rsidRPr="008965A8" w:rsidRDefault="008965A8" w:rsidP="008965A8">
      <w:pPr>
        <w:spacing w:before="100" w:beforeAutospacing="1" w:after="150" w:line="240" w:lineRule="auto"/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</w:pPr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 xml:space="preserve">Le </w:t>
      </w:r>
      <w:r w:rsidRPr="008965A8">
        <w:rPr>
          <w:rFonts w:ascii="dinbold" w:eastAsia="Times New Roman" w:hAnsi="dinbold" w:cs="Helvetica"/>
          <w:color w:val="5A6772"/>
          <w:sz w:val="27"/>
          <w:szCs w:val="27"/>
          <w:lang w:eastAsia="it-IT"/>
        </w:rPr>
        <w:t>Regioni</w:t>
      </w:r>
      <w:r w:rsidRPr="008965A8">
        <w:rPr>
          <w:rFonts w:ascii="dinregular" w:eastAsia="Times New Roman" w:hAnsi="dinregular" w:cs="Helvetica"/>
          <w:color w:val="5A6772"/>
          <w:sz w:val="27"/>
          <w:szCs w:val="27"/>
          <w:lang w:eastAsia="it-IT"/>
        </w:rPr>
        <w:t xml:space="preserve"> individueranno le aree sentiti gli Enti locali e sceglieranno le procedure di affidamento delle progettazioni, anche tramite concorso per garantire una migliore qualità.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_bd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in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in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65A8"/>
    <w:rsid w:val="00426D1B"/>
    <w:rsid w:val="005F0F20"/>
    <w:rsid w:val="008965A8"/>
    <w:rsid w:val="00B2657D"/>
    <w:rsid w:val="00C1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8965A8"/>
    <w:pPr>
      <w:spacing w:after="150" w:line="450" w:lineRule="atLeast"/>
      <w:outlineLvl w:val="0"/>
    </w:pPr>
    <w:rPr>
      <w:rFonts w:ascii="titillium_bdbold" w:eastAsia="Times New Roman" w:hAnsi="titillium_bdbold" w:cs="Times New Roman"/>
      <w:color w:val="5A6772"/>
      <w:kern w:val="36"/>
      <w:sz w:val="45"/>
      <w:szCs w:val="4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5A8"/>
    <w:rPr>
      <w:rFonts w:ascii="titillium_bdbold" w:eastAsia="Times New Roman" w:hAnsi="titillium_bdbold" w:cs="Times New Roman"/>
      <w:color w:val="5A6772"/>
      <w:kern w:val="36"/>
      <w:sz w:val="45"/>
      <w:szCs w:val="45"/>
      <w:lang w:eastAsia="it-IT"/>
    </w:rPr>
  </w:style>
  <w:style w:type="character" w:styleId="Enfasigrassetto">
    <w:name w:val="Strong"/>
    <w:basedOn w:val="Carpredefinitoparagrafo"/>
    <w:uiPriority w:val="22"/>
    <w:qFormat/>
    <w:rsid w:val="008965A8"/>
    <w:rPr>
      <w:rFonts w:ascii="dinbold" w:hAnsi="dinbold" w:hint="default"/>
      <w:b w:val="0"/>
      <w:bCs w:val="0"/>
    </w:rPr>
  </w:style>
  <w:style w:type="paragraph" w:styleId="NormaleWeb">
    <w:name w:val="Normal (Web)"/>
    <w:basedOn w:val="Normale"/>
    <w:uiPriority w:val="99"/>
    <w:semiHidden/>
    <w:unhideWhenUsed/>
    <w:rsid w:val="008965A8"/>
    <w:pPr>
      <w:spacing w:before="100" w:beforeAutospacing="1" w:after="150" w:line="240" w:lineRule="auto"/>
    </w:pPr>
    <w:rPr>
      <w:rFonts w:ascii="dinregular" w:eastAsia="Times New Roman" w:hAnsi="dinregular" w:cs="Times New Roman"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5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2017-10-10T10:28:00Z</dcterms:created>
  <dcterms:modified xsi:type="dcterms:W3CDTF">2017-10-10T10:28:00Z</dcterms:modified>
</cp:coreProperties>
</file>