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6A" w:rsidRPr="003E0AA8" w:rsidRDefault="003E0AA8" w:rsidP="00012F21">
      <w:pPr>
        <w:pStyle w:val="Nessunaspaziatura"/>
        <w:spacing w:line="360" w:lineRule="auto"/>
        <w:jc w:val="center"/>
        <w:rPr>
          <w:rFonts w:ascii="Times New Roman" w:hAnsi="Times New Roman" w:cs="Times New Roman"/>
          <w:b/>
          <w:sz w:val="24"/>
          <w:szCs w:val="24"/>
          <w:lang w:eastAsia="it-IT"/>
        </w:rPr>
      </w:pPr>
      <w:r w:rsidRPr="003E0AA8">
        <w:rPr>
          <w:rFonts w:ascii="Times New Roman" w:hAnsi="Times New Roman" w:cs="Times New Roman"/>
          <w:b/>
          <w:sz w:val="24"/>
          <w:szCs w:val="24"/>
          <w:lang w:eastAsia="it-IT"/>
        </w:rPr>
        <w:t>I CONTROLLI</w:t>
      </w:r>
      <w:r w:rsidR="00733FCF">
        <w:rPr>
          <w:rFonts w:ascii="Times New Roman" w:hAnsi="Times New Roman" w:cs="Times New Roman"/>
          <w:b/>
          <w:sz w:val="24"/>
          <w:szCs w:val="24"/>
          <w:lang w:eastAsia="it-IT"/>
        </w:rPr>
        <w:t xml:space="preserve"> CHE L’UFFICIO TECNICO DEVE</w:t>
      </w:r>
      <w:r w:rsidRPr="003E0AA8">
        <w:rPr>
          <w:rFonts w:ascii="Times New Roman" w:hAnsi="Times New Roman" w:cs="Times New Roman"/>
          <w:b/>
          <w:sz w:val="24"/>
          <w:szCs w:val="24"/>
          <w:lang w:eastAsia="it-IT"/>
        </w:rPr>
        <w:t xml:space="preserve"> EFFETTUARE NEL CASO DI </w:t>
      </w:r>
      <w:r w:rsidR="00733FCF">
        <w:rPr>
          <w:rFonts w:ascii="Times New Roman" w:hAnsi="Times New Roman" w:cs="Times New Roman"/>
          <w:b/>
          <w:sz w:val="24"/>
          <w:szCs w:val="24"/>
          <w:lang w:eastAsia="it-IT"/>
        </w:rPr>
        <w:t xml:space="preserve">RICHIESTA DI </w:t>
      </w:r>
      <w:r w:rsidRPr="003E0AA8">
        <w:rPr>
          <w:rFonts w:ascii="Times New Roman" w:hAnsi="Times New Roman" w:cs="Times New Roman"/>
          <w:b/>
          <w:sz w:val="24"/>
          <w:szCs w:val="24"/>
          <w:lang w:eastAsia="it-IT"/>
        </w:rPr>
        <w:t xml:space="preserve">EDIFICAZIONE TRAMITE </w:t>
      </w:r>
      <w:r w:rsidR="00F34C6A" w:rsidRPr="003E0AA8">
        <w:rPr>
          <w:rFonts w:ascii="Times New Roman" w:hAnsi="Times New Roman" w:cs="Times New Roman"/>
          <w:b/>
          <w:sz w:val="24"/>
          <w:szCs w:val="24"/>
          <w:lang w:eastAsia="it-IT"/>
        </w:rPr>
        <w:t>TRASFERIMENTO DI CUBATURA</w:t>
      </w:r>
    </w:p>
    <w:p w:rsidR="00F34C6A" w:rsidRDefault="00852640" w:rsidP="00852640">
      <w:pPr>
        <w:pStyle w:val="Nessunaspaziatura"/>
        <w:spacing w:line="360" w:lineRule="auto"/>
        <w:jc w:val="center"/>
        <w:rPr>
          <w:rFonts w:ascii="Times New Roman" w:hAnsi="Times New Roman" w:cs="Times New Roman"/>
          <w:sz w:val="24"/>
          <w:szCs w:val="24"/>
          <w:lang w:eastAsia="it-IT"/>
        </w:rPr>
      </w:pPr>
      <w:r>
        <w:rPr>
          <w:rFonts w:ascii="Times New Roman" w:hAnsi="Times New Roman" w:cs="Times New Roman"/>
          <w:sz w:val="24"/>
          <w:szCs w:val="24"/>
          <w:lang w:eastAsia="it-IT"/>
        </w:rPr>
        <w:t xml:space="preserve">di Mario </w:t>
      </w:r>
      <w:proofErr w:type="spellStart"/>
      <w:r>
        <w:rPr>
          <w:rFonts w:ascii="Times New Roman" w:hAnsi="Times New Roman" w:cs="Times New Roman"/>
          <w:sz w:val="24"/>
          <w:szCs w:val="24"/>
          <w:lang w:eastAsia="it-IT"/>
        </w:rPr>
        <w:t>Petrulli</w:t>
      </w:r>
      <w:proofErr w:type="spellEnd"/>
    </w:p>
    <w:p w:rsidR="00852640" w:rsidRPr="00012F21" w:rsidRDefault="00852640" w:rsidP="00012F21">
      <w:pPr>
        <w:pStyle w:val="Nessunaspaziatura"/>
        <w:spacing w:line="360" w:lineRule="auto"/>
        <w:jc w:val="both"/>
        <w:rPr>
          <w:rFonts w:ascii="Times New Roman" w:hAnsi="Times New Roman" w:cs="Times New Roman"/>
          <w:sz w:val="24"/>
          <w:szCs w:val="24"/>
          <w:lang w:eastAsia="it-IT"/>
        </w:rPr>
      </w:pPr>
    </w:p>
    <w:p w:rsidR="00F34C6A" w:rsidRPr="0055497E" w:rsidRDefault="0055497E" w:rsidP="0055497E">
      <w:pPr>
        <w:pStyle w:val="Nessunaspaziatura"/>
        <w:numPr>
          <w:ilvl w:val="0"/>
          <w:numId w:val="1"/>
        </w:numPr>
        <w:spacing w:line="360" w:lineRule="auto"/>
        <w:jc w:val="both"/>
        <w:rPr>
          <w:rFonts w:ascii="Times New Roman" w:hAnsi="Times New Roman" w:cs="Times New Roman"/>
          <w:b/>
          <w:color w:val="FF0000"/>
          <w:sz w:val="24"/>
          <w:szCs w:val="24"/>
          <w:lang w:eastAsia="it-IT"/>
        </w:rPr>
      </w:pPr>
      <w:r w:rsidRPr="0055497E">
        <w:rPr>
          <w:rFonts w:ascii="Times New Roman" w:hAnsi="Times New Roman" w:cs="Times New Roman"/>
          <w:b/>
          <w:color w:val="FF0000"/>
          <w:sz w:val="24"/>
          <w:szCs w:val="24"/>
          <w:lang w:eastAsia="it-IT"/>
        </w:rPr>
        <w:t>Premessa</w:t>
      </w:r>
    </w:p>
    <w:p w:rsidR="00012F21" w:rsidRPr="00012F21" w:rsidRDefault="00012F21" w:rsidP="00012F21">
      <w:pPr>
        <w:pStyle w:val="Nessunaspaziatura"/>
        <w:spacing w:line="36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w:t>
      </w:r>
      <w:r w:rsidRPr="00012F21">
        <w:rPr>
          <w:rFonts w:ascii="Times New Roman" w:eastAsia="Times New Roman" w:hAnsi="Times New Roman" w:cs="Times New Roman"/>
          <w:sz w:val="24"/>
          <w:szCs w:val="24"/>
          <w:lang w:eastAsia="it-IT"/>
        </w:rPr>
        <w:t xml:space="preserve"> noto che l'istituto dell'asservimento, consistente nella volontaria rinuncia alle possibilità edificatorie di un lotto in favore del loro sfruttamento in un'altra particella, serve ad accrescere la potenzialità edilizia di un'area per mezzo dell'utilizzo, ivi, della cubatura realizzabile in una particella contigua e del conseguente computo anche della superficie di quest'ultima, ai fini della verifica del rispetto dell'indice di fabbricabilità fondiaria.</w:t>
      </w:r>
      <w:r>
        <w:rPr>
          <w:rFonts w:ascii="Times New Roman" w:eastAsia="Times New Roman" w:hAnsi="Times New Roman" w:cs="Times New Roman"/>
          <w:sz w:val="24"/>
          <w:szCs w:val="24"/>
          <w:lang w:eastAsia="it-IT"/>
        </w:rPr>
        <w:t xml:space="preserve"> </w:t>
      </w:r>
      <w:r w:rsidRPr="00012F21">
        <w:rPr>
          <w:rFonts w:ascii="Times New Roman" w:eastAsia="Times New Roman" w:hAnsi="Times New Roman" w:cs="Times New Roman"/>
          <w:sz w:val="24"/>
          <w:szCs w:val="24"/>
          <w:lang w:eastAsia="it-IT"/>
        </w:rPr>
        <w:t>Il presupposto logico dell'asservimento deve essere rinvenuto nella indifferenza, ai fini del corretto sviluppo della densità edilizia (per come configurato negli atti pianificatori), della materiale collocazione dei fabbricati, atteso, infatti, che, per il rispetto dell'indice di fabbricabilità fondiaria, assume esclusiva rilevanza il fatto che il rapporto tra area edificabile e volumetria realizzabile nella zona di riferimento resti nei limiti fissati dal piano, risultando del tutto neutra l'ubicazione degli edifici all'interno del comparto (fatti salvi, ovviamente, il rispetto delle distanze e di eventuali prescrizioni sulla superficie minima dei lotti).</w:t>
      </w:r>
    </w:p>
    <w:p w:rsidR="00F34C6A" w:rsidRPr="00012F21" w:rsidRDefault="00DE310C" w:rsidP="00012F21">
      <w:pPr>
        <w:pStyle w:val="Nessunaspaziatura"/>
        <w:spacing w:line="360" w:lineRule="auto"/>
        <w:ind w:firstLine="708"/>
        <w:jc w:val="both"/>
        <w:rPr>
          <w:rFonts w:ascii="Times New Roman" w:hAnsi="Times New Roman" w:cs="Times New Roman"/>
          <w:sz w:val="24"/>
          <w:szCs w:val="24"/>
          <w:lang w:eastAsia="it-IT"/>
        </w:rPr>
      </w:pPr>
      <w:r w:rsidRPr="00012F21">
        <w:rPr>
          <w:rFonts w:ascii="Times New Roman" w:hAnsi="Times New Roman" w:cs="Times New Roman"/>
          <w:sz w:val="24"/>
          <w:szCs w:val="24"/>
          <w:lang w:eastAsia="it-IT"/>
        </w:rPr>
        <w:t>È noto che l</w:t>
      </w:r>
      <w:r w:rsidR="00012F21">
        <w:rPr>
          <w:rFonts w:ascii="Times New Roman" w:hAnsi="Times New Roman" w:cs="Times New Roman"/>
          <w:sz w:val="24"/>
          <w:szCs w:val="24"/>
          <w:lang w:eastAsia="it-IT"/>
        </w:rPr>
        <w:t>a giurisprudenza</w:t>
      </w:r>
      <w:r w:rsidRPr="00012F21">
        <w:rPr>
          <w:rStyle w:val="Rimandonotaapidipagina"/>
          <w:rFonts w:ascii="Times New Roman" w:hAnsi="Times New Roman" w:cs="Times New Roman"/>
          <w:sz w:val="24"/>
          <w:szCs w:val="24"/>
          <w:lang w:eastAsia="it-IT"/>
        </w:rPr>
        <w:footnoteReference w:id="1"/>
      </w:r>
      <w:r w:rsidRPr="00012F21">
        <w:rPr>
          <w:rFonts w:ascii="Times New Roman" w:hAnsi="Times New Roman" w:cs="Times New Roman"/>
          <w:sz w:val="24"/>
          <w:szCs w:val="24"/>
          <w:lang w:eastAsia="it-IT"/>
        </w:rPr>
        <w:t xml:space="preserve"> </w:t>
      </w:r>
      <w:r w:rsidR="00012F21">
        <w:rPr>
          <w:rFonts w:ascii="Times New Roman" w:hAnsi="Times New Roman" w:cs="Times New Roman"/>
          <w:sz w:val="24"/>
          <w:szCs w:val="24"/>
          <w:lang w:eastAsia="it-IT"/>
        </w:rPr>
        <w:t>ritenga</w:t>
      </w:r>
      <w:r w:rsidRPr="00012F21">
        <w:rPr>
          <w:rFonts w:ascii="Times New Roman" w:hAnsi="Times New Roman" w:cs="Times New Roman"/>
          <w:sz w:val="24"/>
          <w:szCs w:val="24"/>
          <w:lang w:eastAsia="it-IT"/>
        </w:rPr>
        <w:t xml:space="preserve"> generalmente ammissibile il trasferimento di cubatura, salvo che la normativa settoriale urbanistica (ovvero gli strumenti di pianificazione territoriale) lo vieti per particolari ragioni</w:t>
      </w:r>
      <w:r w:rsidR="006523BE">
        <w:rPr>
          <w:rStyle w:val="Rimandonotaapidipagina"/>
          <w:rFonts w:ascii="Times New Roman" w:hAnsi="Times New Roman" w:cs="Times New Roman"/>
          <w:sz w:val="24"/>
          <w:szCs w:val="24"/>
          <w:lang w:eastAsia="it-IT"/>
        </w:rPr>
        <w:footnoteReference w:id="2"/>
      </w:r>
      <w:r w:rsidRPr="00012F21">
        <w:rPr>
          <w:rFonts w:ascii="Times New Roman" w:hAnsi="Times New Roman" w:cs="Times New Roman"/>
          <w:sz w:val="24"/>
          <w:szCs w:val="24"/>
          <w:lang w:eastAsia="it-IT"/>
        </w:rPr>
        <w:t>. I</w:t>
      </w:r>
      <w:r w:rsidR="00F34C6A" w:rsidRPr="00012F21">
        <w:rPr>
          <w:rFonts w:ascii="Times New Roman" w:hAnsi="Times New Roman" w:cs="Times New Roman"/>
          <w:sz w:val="24"/>
          <w:szCs w:val="24"/>
          <w:lang w:eastAsia="it-IT"/>
        </w:rPr>
        <w:t>n altri termini, il trasferimento di diritti edificatori trova il proprio limite, oltre che in eventuali discipline speciali della legislazione urbanistica, nelle statuizioni degli strumenti urbanistici, i quali potrebbero vietare tali operazioni per alcune aree, oppure contenere previsioni inerenti alla determinazione della volumetria realizzabile fondata su criteri incompat</w:t>
      </w:r>
      <w:r w:rsidR="00FE7DDD" w:rsidRPr="00012F21">
        <w:rPr>
          <w:rFonts w:ascii="Times New Roman" w:hAnsi="Times New Roman" w:cs="Times New Roman"/>
          <w:sz w:val="24"/>
          <w:szCs w:val="24"/>
          <w:lang w:eastAsia="it-IT"/>
        </w:rPr>
        <w:t>ibili con il suo trasferimento</w:t>
      </w:r>
      <w:r w:rsidR="00F34C6A" w:rsidRPr="00012F21">
        <w:rPr>
          <w:rFonts w:ascii="Times New Roman" w:hAnsi="Times New Roman" w:cs="Times New Roman"/>
          <w:sz w:val="24"/>
          <w:szCs w:val="24"/>
          <w:lang w:eastAsia="it-IT"/>
        </w:rPr>
        <w:t>.</w:t>
      </w:r>
    </w:p>
    <w:p w:rsidR="00F34C6A" w:rsidRPr="00012F21" w:rsidRDefault="00DE310C" w:rsidP="00012F21">
      <w:pPr>
        <w:pStyle w:val="Nessunaspaziatura"/>
        <w:spacing w:line="360" w:lineRule="auto"/>
        <w:ind w:firstLine="708"/>
        <w:jc w:val="both"/>
        <w:rPr>
          <w:rFonts w:ascii="Times New Roman" w:hAnsi="Times New Roman" w:cs="Times New Roman"/>
          <w:sz w:val="24"/>
          <w:szCs w:val="24"/>
          <w:lang w:eastAsia="it-IT"/>
        </w:rPr>
      </w:pPr>
      <w:r w:rsidRPr="00012F21">
        <w:rPr>
          <w:rFonts w:ascii="Times New Roman" w:hAnsi="Times New Roman" w:cs="Times New Roman"/>
          <w:sz w:val="24"/>
          <w:szCs w:val="24"/>
          <w:lang w:eastAsia="it-IT"/>
        </w:rPr>
        <w:t xml:space="preserve">È altrettanto evidente che </w:t>
      </w:r>
      <w:r w:rsidR="00F34C6A" w:rsidRPr="00012F21">
        <w:rPr>
          <w:rFonts w:ascii="Times New Roman" w:hAnsi="Times New Roman" w:cs="Times New Roman"/>
          <w:sz w:val="24"/>
          <w:szCs w:val="24"/>
          <w:lang w:eastAsia="it-IT"/>
        </w:rPr>
        <w:t xml:space="preserve">la cessione di cubatura non </w:t>
      </w:r>
      <w:r w:rsidRPr="00012F21">
        <w:rPr>
          <w:rFonts w:ascii="Times New Roman" w:hAnsi="Times New Roman" w:cs="Times New Roman"/>
          <w:sz w:val="24"/>
          <w:szCs w:val="24"/>
          <w:lang w:eastAsia="it-IT"/>
        </w:rPr>
        <w:t xml:space="preserve">possa considerarsi </w:t>
      </w:r>
      <w:r w:rsidR="00F34C6A" w:rsidRPr="00012F21">
        <w:rPr>
          <w:rFonts w:ascii="Times New Roman" w:hAnsi="Times New Roman" w:cs="Times New Roman"/>
          <w:sz w:val="24"/>
          <w:szCs w:val="24"/>
          <w:lang w:eastAsia="it-IT"/>
        </w:rPr>
        <w:t>un mero negozio bilaterale tra privati ma</w:t>
      </w:r>
      <w:r w:rsidRPr="00012F21">
        <w:rPr>
          <w:rFonts w:ascii="Times New Roman" w:hAnsi="Times New Roman" w:cs="Times New Roman"/>
          <w:sz w:val="24"/>
          <w:szCs w:val="24"/>
          <w:lang w:eastAsia="it-IT"/>
        </w:rPr>
        <w:t xml:space="preserve"> abbia una rilevanza pubblica, dovendosi coordinare con le disposizioni contenute ne</w:t>
      </w:r>
      <w:r w:rsidR="00F34C6A" w:rsidRPr="00012F21">
        <w:rPr>
          <w:rFonts w:ascii="Times New Roman" w:hAnsi="Times New Roman" w:cs="Times New Roman"/>
          <w:sz w:val="24"/>
          <w:szCs w:val="24"/>
          <w:lang w:eastAsia="it-IT"/>
        </w:rPr>
        <w:t>gli strumenti urbanistici.</w:t>
      </w:r>
    </w:p>
    <w:p w:rsidR="00DE310C" w:rsidRPr="00012F21" w:rsidRDefault="008B528A" w:rsidP="00012F21">
      <w:pPr>
        <w:pStyle w:val="Nessunaspaziatura"/>
        <w:spacing w:line="360" w:lineRule="auto"/>
        <w:ind w:firstLine="708"/>
        <w:jc w:val="both"/>
        <w:rPr>
          <w:rFonts w:ascii="Times New Roman" w:hAnsi="Times New Roman" w:cs="Times New Roman"/>
          <w:sz w:val="24"/>
          <w:szCs w:val="24"/>
          <w:lang w:eastAsia="it-IT"/>
        </w:rPr>
      </w:pPr>
      <w:r w:rsidRPr="00012F21">
        <w:rPr>
          <w:rFonts w:ascii="Times New Roman" w:hAnsi="Times New Roman" w:cs="Times New Roman"/>
          <w:sz w:val="24"/>
          <w:szCs w:val="24"/>
          <w:lang w:eastAsia="it-IT"/>
        </w:rPr>
        <w:t xml:space="preserve">Il compito di meglio delineare la concreta attuazione della cessione di cubatura è stato affidato alla giurisprudenza e proprio dall’analisi della casistica è possibile individuare una serie di principi che possono essere di ausilio all’ufficio tecnico nella gestione di pratiche edilizie interessate dalla cessione in discorso. </w:t>
      </w:r>
    </w:p>
    <w:p w:rsidR="0055497E" w:rsidRDefault="0055497E" w:rsidP="00012F21">
      <w:pPr>
        <w:pStyle w:val="Nessunaspaziatura"/>
        <w:spacing w:line="360" w:lineRule="auto"/>
        <w:ind w:firstLine="708"/>
        <w:jc w:val="both"/>
        <w:rPr>
          <w:rFonts w:ascii="Times New Roman" w:hAnsi="Times New Roman" w:cs="Times New Roman"/>
          <w:sz w:val="24"/>
          <w:szCs w:val="24"/>
          <w:lang w:eastAsia="it-IT"/>
        </w:rPr>
      </w:pPr>
    </w:p>
    <w:p w:rsidR="0055497E" w:rsidRDefault="0055497E" w:rsidP="00012F21">
      <w:pPr>
        <w:pStyle w:val="Nessunaspaziatura"/>
        <w:spacing w:line="360" w:lineRule="auto"/>
        <w:ind w:firstLine="708"/>
        <w:jc w:val="both"/>
        <w:rPr>
          <w:rFonts w:ascii="Times New Roman" w:hAnsi="Times New Roman" w:cs="Times New Roman"/>
          <w:sz w:val="24"/>
          <w:szCs w:val="24"/>
          <w:lang w:eastAsia="it-IT"/>
        </w:rPr>
      </w:pPr>
    </w:p>
    <w:p w:rsidR="0055497E" w:rsidRDefault="0055497E" w:rsidP="0055497E">
      <w:pPr>
        <w:pStyle w:val="Nessunaspaziatura"/>
        <w:numPr>
          <w:ilvl w:val="0"/>
          <w:numId w:val="1"/>
        </w:numPr>
        <w:spacing w:line="360" w:lineRule="auto"/>
        <w:jc w:val="both"/>
        <w:rPr>
          <w:rFonts w:ascii="Times New Roman" w:hAnsi="Times New Roman" w:cs="Times New Roman"/>
          <w:b/>
          <w:color w:val="FF0000"/>
          <w:sz w:val="24"/>
          <w:szCs w:val="24"/>
          <w:lang w:eastAsia="it-IT"/>
        </w:rPr>
      </w:pPr>
      <w:r w:rsidRPr="0055497E">
        <w:rPr>
          <w:rFonts w:ascii="Times New Roman" w:hAnsi="Times New Roman" w:cs="Times New Roman"/>
          <w:b/>
          <w:color w:val="FF0000"/>
          <w:sz w:val="24"/>
          <w:szCs w:val="24"/>
          <w:lang w:eastAsia="it-IT"/>
        </w:rPr>
        <w:t xml:space="preserve">Il primo controllo: </w:t>
      </w:r>
      <w:r>
        <w:rPr>
          <w:rFonts w:ascii="Times New Roman" w:hAnsi="Times New Roman" w:cs="Times New Roman"/>
          <w:b/>
          <w:color w:val="FF0000"/>
          <w:sz w:val="24"/>
          <w:szCs w:val="24"/>
          <w:lang w:eastAsia="it-IT"/>
        </w:rPr>
        <w:t>la normativa regionale e le previsioni urbanistiche locali</w:t>
      </w:r>
    </w:p>
    <w:p w:rsidR="00B8461A" w:rsidRDefault="0055497E" w:rsidP="0055497E">
      <w:pPr>
        <w:pStyle w:val="Nessunaspaziatura"/>
        <w:spacing w:line="360" w:lineRule="auto"/>
        <w:ind w:firstLine="708"/>
        <w:jc w:val="both"/>
        <w:rPr>
          <w:rFonts w:ascii="Times New Roman" w:hAnsi="Times New Roman" w:cs="Times New Roman"/>
          <w:sz w:val="24"/>
          <w:szCs w:val="24"/>
          <w:lang w:eastAsia="it-IT"/>
        </w:rPr>
      </w:pPr>
      <w:r w:rsidRPr="0055497E">
        <w:rPr>
          <w:rFonts w:ascii="Times New Roman" w:hAnsi="Times New Roman" w:cs="Times New Roman"/>
          <w:sz w:val="24"/>
          <w:szCs w:val="24"/>
          <w:lang w:eastAsia="it-IT"/>
        </w:rPr>
        <w:t>È quasi superfluo evidenziarlo, ma il primo controllo deve riguardare la normativa regionale e le previsioni urbanistiche locali. Ed infatti, è possibile che dette fonti contengano</w:t>
      </w:r>
      <w:r w:rsidR="00B8461A">
        <w:rPr>
          <w:rFonts w:ascii="Times New Roman" w:hAnsi="Times New Roman" w:cs="Times New Roman"/>
          <w:sz w:val="24"/>
          <w:szCs w:val="24"/>
          <w:lang w:eastAsia="it-IT"/>
        </w:rPr>
        <w:t xml:space="preserve"> norme rilevanti ai nostri fini; ad esempio:</w:t>
      </w:r>
      <w:r w:rsidRPr="0055497E">
        <w:rPr>
          <w:rFonts w:ascii="Times New Roman" w:hAnsi="Times New Roman" w:cs="Times New Roman"/>
          <w:sz w:val="24"/>
          <w:szCs w:val="24"/>
          <w:lang w:eastAsia="it-IT"/>
        </w:rPr>
        <w:t xml:space="preserve"> </w:t>
      </w:r>
    </w:p>
    <w:p w:rsidR="00B8461A" w:rsidRDefault="0055497E" w:rsidP="00B8461A">
      <w:pPr>
        <w:pStyle w:val="Nessunaspaziatura"/>
        <w:numPr>
          <w:ilvl w:val="0"/>
          <w:numId w:val="2"/>
        </w:numPr>
        <w:spacing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Legge Regionale Campania n. 14/1982 prevede che, nelle zone agricole, il trasferimento di cubatura sia possibile </w:t>
      </w:r>
      <w:r w:rsidR="00852640">
        <w:rPr>
          <w:rFonts w:ascii="Times New Roman" w:hAnsi="Times New Roman" w:cs="Times New Roman"/>
          <w:sz w:val="24"/>
          <w:szCs w:val="24"/>
          <w:lang w:eastAsia="it-IT"/>
        </w:rPr>
        <w:t>nel limite di 500 mc.</w:t>
      </w:r>
      <w:r w:rsidR="0014624B">
        <w:rPr>
          <w:rFonts w:ascii="Times New Roman" w:hAnsi="Times New Roman" w:cs="Times New Roman"/>
          <w:sz w:val="24"/>
          <w:szCs w:val="24"/>
          <w:lang w:eastAsia="it-IT"/>
        </w:rPr>
        <w:t xml:space="preserve"> e solo per soddisfare le esigenze abitative dell’imprenditore agricolo</w:t>
      </w:r>
      <w:r w:rsidR="00F61906">
        <w:rPr>
          <w:rStyle w:val="Rimandonotaapidipagina"/>
          <w:rFonts w:ascii="Times New Roman" w:hAnsi="Times New Roman" w:cs="Times New Roman"/>
          <w:sz w:val="24"/>
          <w:szCs w:val="24"/>
          <w:lang w:eastAsia="it-IT"/>
        </w:rPr>
        <w:footnoteReference w:id="3"/>
      </w:r>
      <w:r w:rsidR="00907F69">
        <w:rPr>
          <w:rFonts w:ascii="Times New Roman" w:hAnsi="Times New Roman" w:cs="Times New Roman"/>
          <w:sz w:val="24"/>
          <w:szCs w:val="24"/>
          <w:lang w:eastAsia="it-IT"/>
        </w:rPr>
        <w:t xml:space="preserve"> (Titolo II, punto 1.8); </w:t>
      </w:r>
    </w:p>
    <w:p w:rsidR="00852640" w:rsidRDefault="00907F69" w:rsidP="00B8461A">
      <w:pPr>
        <w:pStyle w:val="Nessunaspaziatura"/>
        <w:numPr>
          <w:ilvl w:val="0"/>
          <w:numId w:val="2"/>
        </w:numPr>
        <w:spacing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r w:rsidR="00B8461A">
        <w:rPr>
          <w:rFonts w:ascii="Times New Roman" w:hAnsi="Times New Roman" w:cs="Times New Roman"/>
          <w:sz w:val="24"/>
          <w:szCs w:val="24"/>
          <w:lang w:eastAsia="it-IT"/>
        </w:rPr>
        <w:t xml:space="preserve">Comune di </w:t>
      </w:r>
      <w:r>
        <w:rPr>
          <w:rFonts w:ascii="Times New Roman" w:hAnsi="Times New Roman" w:cs="Times New Roman"/>
          <w:sz w:val="24"/>
          <w:szCs w:val="24"/>
          <w:lang w:eastAsia="it-IT"/>
        </w:rPr>
        <w:t xml:space="preserve">Ribera (AG) vieta la cessione di cubatura </w:t>
      </w:r>
      <w:r w:rsidR="00B8461A">
        <w:rPr>
          <w:rFonts w:ascii="Times New Roman" w:hAnsi="Times New Roman" w:cs="Times New Roman"/>
          <w:sz w:val="24"/>
          <w:szCs w:val="24"/>
          <w:lang w:eastAsia="it-IT"/>
        </w:rPr>
        <w:t>a favore di are della zona A (centro stoico)</w:t>
      </w:r>
      <w:r w:rsidR="00B8461A">
        <w:rPr>
          <w:rStyle w:val="Rimandonotaapidipagina"/>
          <w:rFonts w:ascii="Times New Roman" w:hAnsi="Times New Roman" w:cs="Times New Roman"/>
          <w:sz w:val="24"/>
          <w:szCs w:val="24"/>
          <w:lang w:eastAsia="it-IT"/>
        </w:rPr>
        <w:footnoteReference w:id="4"/>
      </w:r>
      <w:r w:rsidR="00801563">
        <w:rPr>
          <w:rFonts w:ascii="Times New Roman" w:hAnsi="Times New Roman" w:cs="Times New Roman"/>
          <w:sz w:val="24"/>
          <w:szCs w:val="24"/>
          <w:lang w:eastAsia="it-IT"/>
        </w:rPr>
        <w:t>;</w:t>
      </w:r>
    </w:p>
    <w:p w:rsidR="00801563" w:rsidRDefault="00801563" w:rsidP="00B8461A">
      <w:pPr>
        <w:pStyle w:val="Nessunaspaziatura"/>
        <w:numPr>
          <w:ilvl w:val="0"/>
          <w:numId w:val="2"/>
        </w:numPr>
        <w:spacing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il Comune di Ozieri (SS) consente la cessione di cubatura solo se i lotti non distino più di 100 metri fra loro</w:t>
      </w:r>
      <w:r>
        <w:rPr>
          <w:rStyle w:val="Rimandonotaapidipagina"/>
          <w:rFonts w:ascii="Times New Roman" w:hAnsi="Times New Roman" w:cs="Times New Roman"/>
          <w:sz w:val="24"/>
          <w:szCs w:val="24"/>
          <w:lang w:eastAsia="it-IT"/>
        </w:rPr>
        <w:footnoteReference w:id="5"/>
      </w:r>
      <w:r>
        <w:rPr>
          <w:rFonts w:ascii="Times New Roman" w:hAnsi="Times New Roman" w:cs="Times New Roman"/>
          <w:sz w:val="24"/>
          <w:szCs w:val="24"/>
          <w:lang w:eastAsia="it-IT"/>
        </w:rPr>
        <w:t>.</w:t>
      </w:r>
    </w:p>
    <w:p w:rsidR="00852640" w:rsidRPr="00012F21" w:rsidRDefault="00852640" w:rsidP="00852640">
      <w:pPr>
        <w:pStyle w:val="Nessunaspaziatura"/>
        <w:spacing w:line="36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In ogni caso, è bene ricordare che la giurisprudenza ritiene ammissibile la cessione di cubatura anche in assenza di indicazioni e disciplina da parte della Legge Regionale o degli strumenti urbanistici</w:t>
      </w:r>
      <w:r>
        <w:rPr>
          <w:rStyle w:val="Rimandonotaapidipagina"/>
          <w:rFonts w:ascii="Times New Roman" w:hAnsi="Times New Roman" w:cs="Times New Roman"/>
          <w:sz w:val="24"/>
          <w:szCs w:val="24"/>
          <w:lang w:eastAsia="it-IT"/>
        </w:rPr>
        <w:footnoteReference w:id="6"/>
      </w:r>
      <w:r>
        <w:rPr>
          <w:rFonts w:ascii="Times New Roman" w:hAnsi="Times New Roman" w:cs="Times New Roman"/>
          <w:sz w:val="24"/>
          <w:szCs w:val="24"/>
          <w:lang w:eastAsia="it-IT"/>
        </w:rPr>
        <w:t>.</w:t>
      </w:r>
    </w:p>
    <w:p w:rsidR="00852640" w:rsidRDefault="00852640" w:rsidP="0055497E">
      <w:pPr>
        <w:pStyle w:val="Nessunaspaziatura"/>
        <w:spacing w:line="360" w:lineRule="auto"/>
        <w:ind w:left="720"/>
        <w:jc w:val="both"/>
        <w:rPr>
          <w:rFonts w:ascii="Times New Roman" w:hAnsi="Times New Roman" w:cs="Times New Roman"/>
          <w:b/>
          <w:color w:val="FF0000"/>
          <w:sz w:val="24"/>
          <w:szCs w:val="24"/>
          <w:lang w:eastAsia="it-IT"/>
        </w:rPr>
      </w:pPr>
    </w:p>
    <w:p w:rsidR="0055497E" w:rsidRDefault="0055497E" w:rsidP="0055497E">
      <w:pPr>
        <w:pStyle w:val="Nessunaspaziatura"/>
        <w:spacing w:line="360" w:lineRule="auto"/>
        <w:ind w:left="720"/>
        <w:jc w:val="both"/>
        <w:rPr>
          <w:rFonts w:ascii="Times New Roman" w:hAnsi="Times New Roman" w:cs="Times New Roman"/>
          <w:b/>
          <w:color w:val="FF0000"/>
          <w:sz w:val="24"/>
          <w:szCs w:val="24"/>
          <w:lang w:eastAsia="it-IT"/>
        </w:rPr>
      </w:pPr>
    </w:p>
    <w:p w:rsidR="0055497E" w:rsidRPr="0055497E" w:rsidRDefault="0055497E" w:rsidP="0055497E">
      <w:pPr>
        <w:pStyle w:val="Nessunaspaziatura"/>
        <w:numPr>
          <w:ilvl w:val="0"/>
          <w:numId w:val="1"/>
        </w:numPr>
        <w:spacing w:line="360" w:lineRule="auto"/>
        <w:jc w:val="both"/>
        <w:rPr>
          <w:rFonts w:ascii="Times New Roman" w:hAnsi="Times New Roman" w:cs="Times New Roman"/>
          <w:b/>
          <w:color w:val="FF0000"/>
          <w:sz w:val="24"/>
          <w:szCs w:val="24"/>
          <w:lang w:eastAsia="it-IT"/>
        </w:rPr>
      </w:pPr>
      <w:r>
        <w:rPr>
          <w:rFonts w:ascii="Times New Roman" w:hAnsi="Times New Roman" w:cs="Times New Roman"/>
          <w:b/>
          <w:color w:val="FF0000"/>
          <w:sz w:val="24"/>
          <w:szCs w:val="24"/>
          <w:lang w:eastAsia="it-IT"/>
        </w:rPr>
        <w:t xml:space="preserve">Il secondo controllo: </w:t>
      </w:r>
      <w:r w:rsidRPr="0055497E">
        <w:rPr>
          <w:rFonts w:ascii="Times New Roman" w:hAnsi="Times New Roman" w:cs="Times New Roman"/>
          <w:b/>
          <w:color w:val="FF0000"/>
          <w:sz w:val="24"/>
          <w:szCs w:val="24"/>
          <w:lang w:eastAsia="it-IT"/>
        </w:rPr>
        <w:t>la c.d. omogeneità dei fondi</w:t>
      </w:r>
    </w:p>
    <w:p w:rsidR="00FE7DDD" w:rsidRDefault="00FE7DDD" w:rsidP="00012F21">
      <w:pPr>
        <w:pStyle w:val="Nessunaspaziatura"/>
        <w:spacing w:line="360" w:lineRule="auto"/>
        <w:ind w:firstLine="708"/>
        <w:jc w:val="both"/>
        <w:rPr>
          <w:rFonts w:ascii="Times New Roman" w:hAnsi="Times New Roman" w:cs="Times New Roman"/>
          <w:sz w:val="24"/>
          <w:szCs w:val="24"/>
        </w:rPr>
      </w:pPr>
      <w:r w:rsidRPr="00012F21">
        <w:rPr>
          <w:rFonts w:ascii="Times New Roman" w:hAnsi="Times New Roman" w:cs="Times New Roman"/>
          <w:sz w:val="24"/>
          <w:szCs w:val="24"/>
          <w:lang w:eastAsia="it-IT"/>
        </w:rPr>
        <w:t xml:space="preserve">Il </w:t>
      </w:r>
      <w:r w:rsidR="00852640">
        <w:rPr>
          <w:rFonts w:ascii="Times New Roman" w:hAnsi="Times New Roman" w:cs="Times New Roman"/>
          <w:sz w:val="24"/>
          <w:szCs w:val="24"/>
          <w:lang w:eastAsia="it-IT"/>
        </w:rPr>
        <w:t xml:space="preserve">secondo </w:t>
      </w:r>
      <w:r w:rsidRPr="00012F21">
        <w:rPr>
          <w:rFonts w:ascii="Times New Roman" w:hAnsi="Times New Roman" w:cs="Times New Roman"/>
          <w:sz w:val="24"/>
          <w:szCs w:val="24"/>
          <w:lang w:eastAsia="it-IT"/>
        </w:rPr>
        <w:t>elemento riguarda la c.d. omogeneità dei fondi: ciò significa che sia il fondo cedente sia il fondo ricevente devono avere la medesima destinazione urbanistica</w:t>
      </w:r>
      <w:r w:rsidRPr="00012F21">
        <w:rPr>
          <w:rStyle w:val="Rimandonotaapidipagina"/>
          <w:rFonts w:ascii="Times New Roman" w:hAnsi="Times New Roman" w:cs="Times New Roman"/>
          <w:sz w:val="24"/>
          <w:szCs w:val="24"/>
          <w:lang w:eastAsia="it-IT"/>
        </w:rPr>
        <w:footnoteReference w:id="7"/>
      </w:r>
      <w:r w:rsidRPr="00012F21">
        <w:rPr>
          <w:rFonts w:ascii="Times New Roman" w:hAnsi="Times New Roman" w:cs="Times New Roman"/>
          <w:sz w:val="24"/>
          <w:szCs w:val="24"/>
          <w:lang w:eastAsia="it-IT"/>
        </w:rPr>
        <w:t>.</w:t>
      </w:r>
      <w:r w:rsidR="006523BE">
        <w:rPr>
          <w:rFonts w:ascii="Times New Roman" w:hAnsi="Times New Roman" w:cs="Times New Roman"/>
          <w:sz w:val="24"/>
          <w:szCs w:val="24"/>
          <w:lang w:eastAsia="it-IT"/>
        </w:rPr>
        <w:t xml:space="preserve"> </w:t>
      </w:r>
      <w:r w:rsidR="00300C8A">
        <w:rPr>
          <w:rFonts w:ascii="Times New Roman" w:hAnsi="Times New Roman" w:cs="Times New Roman"/>
          <w:sz w:val="24"/>
          <w:szCs w:val="24"/>
          <w:lang w:eastAsia="it-IT"/>
        </w:rPr>
        <w:t xml:space="preserve">Diversamente, </w:t>
      </w:r>
      <w:r w:rsidR="00300C8A" w:rsidRPr="00300C8A">
        <w:rPr>
          <w:rFonts w:ascii="Times New Roman" w:hAnsi="Times New Roman" w:cs="Times New Roman"/>
          <w:sz w:val="24"/>
        </w:rPr>
        <w:t>nella zona in cui viene aggiunta cubatura potrebbe determinarsi un superamento della densità edilizia massima consentita dallo s</w:t>
      </w:r>
      <w:r w:rsidR="00300C8A" w:rsidRPr="00FB4CA3">
        <w:rPr>
          <w:rFonts w:ascii="Times New Roman" w:hAnsi="Times New Roman" w:cs="Times New Roman"/>
          <w:sz w:val="24"/>
          <w:szCs w:val="24"/>
        </w:rPr>
        <w:t>trumento urbanistico</w:t>
      </w:r>
      <w:r w:rsidR="00300C8A" w:rsidRPr="00FB4CA3">
        <w:rPr>
          <w:rStyle w:val="Rimandonotaapidipagina"/>
          <w:rFonts w:ascii="Times New Roman" w:hAnsi="Times New Roman" w:cs="Times New Roman"/>
          <w:sz w:val="24"/>
          <w:szCs w:val="24"/>
        </w:rPr>
        <w:footnoteReference w:id="8"/>
      </w:r>
      <w:r w:rsidR="00300C8A" w:rsidRPr="00FB4CA3">
        <w:rPr>
          <w:rFonts w:ascii="Times New Roman" w:hAnsi="Times New Roman" w:cs="Times New Roman"/>
          <w:sz w:val="24"/>
          <w:szCs w:val="24"/>
        </w:rPr>
        <w:t>.</w:t>
      </w:r>
      <w:r w:rsidR="00FB4CA3" w:rsidRPr="00FB4CA3">
        <w:rPr>
          <w:rFonts w:ascii="Times New Roman" w:hAnsi="Times New Roman" w:cs="Times New Roman"/>
          <w:sz w:val="24"/>
          <w:szCs w:val="24"/>
        </w:rPr>
        <w:t xml:space="preserve"> Secondo la giurisprudenza</w:t>
      </w:r>
      <w:r w:rsidR="00803AA0">
        <w:rPr>
          <w:rFonts w:ascii="Times New Roman" w:hAnsi="Times New Roman" w:cs="Times New Roman"/>
          <w:sz w:val="24"/>
          <w:szCs w:val="24"/>
        </w:rPr>
        <w:t xml:space="preserve"> amministrativa</w:t>
      </w:r>
      <w:r w:rsidR="00FB4CA3" w:rsidRPr="00FB4CA3">
        <w:rPr>
          <w:rFonts w:ascii="Times New Roman" w:hAnsi="Times New Roman" w:cs="Times New Roman"/>
          <w:sz w:val="24"/>
          <w:szCs w:val="24"/>
        </w:rPr>
        <w:t>, tale requisito “</w:t>
      </w:r>
      <w:r w:rsidR="00FB4CA3" w:rsidRPr="00FB4CA3">
        <w:rPr>
          <w:rFonts w:ascii="Times New Roman" w:hAnsi="Times New Roman" w:cs="Times New Roman"/>
          <w:i/>
          <w:sz w:val="24"/>
          <w:szCs w:val="24"/>
        </w:rPr>
        <w:t>è volto ad assicurare che non si stravolgano le previsioni di piano, che sono legate alla rilevazione della volumetria esistente, in modo da determinare, secondo gli standard del DM 1444/68, a quale tipologia di comparto edificabile appartiene l’area; se fosse ammessa la cessione di cubatura tra fondi aventi qualificazione urbanistica di ZTO differenti si otterrebbe che l’indice di densità territoriale potrebbe essere alterato o superato nei limiti massimi</w:t>
      </w:r>
      <w:r w:rsidR="00FB4CA3" w:rsidRPr="00FB4CA3">
        <w:rPr>
          <w:rFonts w:ascii="Times New Roman" w:hAnsi="Times New Roman" w:cs="Times New Roman"/>
          <w:sz w:val="24"/>
          <w:szCs w:val="24"/>
        </w:rPr>
        <w:t>”</w:t>
      </w:r>
      <w:r w:rsidR="00FB4CA3">
        <w:rPr>
          <w:rStyle w:val="Rimandonotaapidipagina"/>
          <w:rFonts w:ascii="Times New Roman" w:hAnsi="Times New Roman" w:cs="Times New Roman"/>
          <w:sz w:val="24"/>
          <w:szCs w:val="24"/>
        </w:rPr>
        <w:footnoteReference w:id="9"/>
      </w:r>
      <w:r w:rsidR="00FB4CA3" w:rsidRPr="00FB4CA3">
        <w:rPr>
          <w:rFonts w:ascii="Times New Roman" w:hAnsi="Times New Roman" w:cs="Times New Roman"/>
          <w:sz w:val="24"/>
          <w:szCs w:val="24"/>
        </w:rPr>
        <w:t>.</w:t>
      </w:r>
    </w:p>
    <w:p w:rsidR="00803AA0" w:rsidRPr="00803AA0" w:rsidRDefault="00803AA0" w:rsidP="00803AA0">
      <w:pPr>
        <w:pStyle w:val="Nessunaspaziatura"/>
        <w:spacing w:line="360" w:lineRule="auto"/>
        <w:ind w:firstLine="708"/>
        <w:jc w:val="both"/>
        <w:rPr>
          <w:rFonts w:ascii="Times New Roman" w:hAnsi="Times New Roman" w:cs="Times New Roman"/>
          <w:sz w:val="28"/>
          <w:szCs w:val="24"/>
          <w:lang w:eastAsia="it-IT"/>
        </w:rPr>
      </w:pPr>
      <w:r>
        <w:rPr>
          <w:rFonts w:ascii="Times New Roman" w:hAnsi="Times New Roman" w:cs="Times New Roman"/>
          <w:sz w:val="24"/>
        </w:rPr>
        <w:lastRenderedPageBreak/>
        <w:t>Secondo la Corte di cassazione</w:t>
      </w:r>
      <w:r>
        <w:rPr>
          <w:rStyle w:val="Rimandonotaapidipagina"/>
          <w:rFonts w:ascii="Times New Roman" w:hAnsi="Times New Roman" w:cs="Times New Roman"/>
          <w:sz w:val="24"/>
        </w:rPr>
        <w:footnoteReference w:id="10"/>
      </w:r>
      <w:r>
        <w:rPr>
          <w:rFonts w:ascii="Times New Roman" w:hAnsi="Times New Roman" w:cs="Times New Roman"/>
          <w:sz w:val="24"/>
        </w:rPr>
        <w:t xml:space="preserve">, ove fosse consentita la </w:t>
      </w:r>
      <w:r w:rsidRPr="00803AA0">
        <w:rPr>
          <w:rFonts w:ascii="Times New Roman" w:hAnsi="Times New Roman" w:cs="Times New Roman"/>
          <w:sz w:val="24"/>
        </w:rPr>
        <w:t>cessione di cubatura fra terreni aventi diversa destinazione urbanistica le esigenze di pianificazione urbanistica che avevano presieduto alla scelta amministrativa di differenziare gli indici di edificabilità dei due fondi, ovvero la loro stessa destinazione, rimarrebbero inevit</w:t>
      </w:r>
      <w:r>
        <w:rPr>
          <w:rFonts w:ascii="Times New Roman" w:hAnsi="Times New Roman" w:cs="Times New Roman"/>
          <w:sz w:val="24"/>
        </w:rPr>
        <w:t>abilmente insoddisfatte</w:t>
      </w:r>
      <w:r w:rsidRPr="00803AA0">
        <w:rPr>
          <w:rFonts w:ascii="Times New Roman" w:hAnsi="Times New Roman" w:cs="Times New Roman"/>
          <w:sz w:val="24"/>
        </w:rPr>
        <w:t>.</w:t>
      </w:r>
    </w:p>
    <w:p w:rsidR="00803AA0" w:rsidRPr="00300C8A" w:rsidRDefault="00803AA0" w:rsidP="00012F21">
      <w:pPr>
        <w:pStyle w:val="Nessunaspaziatura"/>
        <w:spacing w:line="360" w:lineRule="auto"/>
        <w:ind w:firstLine="708"/>
        <w:jc w:val="both"/>
        <w:rPr>
          <w:rFonts w:ascii="Times New Roman" w:hAnsi="Times New Roman" w:cs="Times New Roman"/>
          <w:sz w:val="28"/>
          <w:szCs w:val="24"/>
          <w:lang w:eastAsia="it-IT"/>
        </w:rPr>
      </w:pPr>
    </w:p>
    <w:p w:rsidR="0055497E" w:rsidRDefault="0055497E" w:rsidP="00FB621D">
      <w:pPr>
        <w:pStyle w:val="Nessunaspaziatura"/>
        <w:spacing w:line="360" w:lineRule="auto"/>
        <w:ind w:firstLine="708"/>
        <w:jc w:val="both"/>
        <w:rPr>
          <w:rFonts w:ascii="Times New Roman" w:hAnsi="Times New Roman" w:cs="Times New Roman"/>
          <w:sz w:val="24"/>
          <w:szCs w:val="24"/>
          <w:lang w:eastAsia="it-IT"/>
        </w:rPr>
      </w:pPr>
    </w:p>
    <w:p w:rsidR="0055497E" w:rsidRPr="0055497E" w:rsidRDefault="00852640" w:rsidP="0055497E">
      <w:pPr>
        <w:pStyle w:val="Nessunaspaziatura"/>
        <w:numPr>
          <w:ilvl w:val="0"/>
          <w:numId w:val="1"/>
        </w:numPr>
        <w:spacing w:line="360" w:lineRule="auto"/>
        <w:jc w:val="both"/>
        <w:rPr>
          <w:rFonts w:ascii="Times New Roman" w:hAnsi="Times New Roman" w:cs="Times New Roman"/>
          <w:b/>
          <w:color w:val="FF0000"/>
          <w:sz w:val="24"/>
          <w:szCs w:val="24"/>
          <w:lang w:eastAsia="it-IT"/>
        </w:rPr>
      </w:pPr>
      <w:r>
        <w:rPr>
          <w:rFonts w:ascii="Times New Roman" w:hAnsi="Times New Roman" w:cs="Times New Roman"/>
          <w:b/>
          <w:color w:val="FF0000"/>
          <w:sz w:val="24"/>
          <w:szCs w:val="24"/>
          <w:lang w:eastAsia="it-IT"/>
        </w:rPr>
        <w:t>Il terzo</w:t>
      </w:r>
      <w:r w:rsidR="0055497E" w:rsidRPr="0055497E">
        <w:rPr>
          <w:rFonts w:ascii="Times New Roman" w:hAnsi="Times New Roman" w:cs="Times New Roman"/>
          <w:b/>
          <w:color w:val="FF0000"/>
          <w:sz w:val="24"/>
          <w:szCs w:val="24"/>
          <w:lang w:eastAsia="it-IT"/>
        </w:rPr>
        <w:t xml:space="preserve"> controllo: la c.d. contiguità dei fondi</w:t>
      </w:r>
    </w:p>
    <w:p w:rsidR="00FB621D" w:rsidRPr="00F34C6A" w:rsidRDefault="00FE7DDD" w:rsidP="00FB621D">
      <w:pPr>
        <w:pStyle w:val="Nessunaspaziatura"/>
        <w:spacing w:line="360" w:lineRule="auto"/>
        <w:ind w:firstLine="708"/>
        <w:jc w:val="both"/>
        <w:rPr>
          <w:rFonts w:ascii="Times New Roman" w:hAnsi="Times New Roman" w:cs="Times New Roman"/>
          <w:sz w:val="24"/>
          <w:szCs w:val="24"/>
          <w:lang w:eastAsia="it-IT"/>
        </w:rPr>
      </w:pPr>
      <w:r w:rsidRPr="00012F21">
        <w:rPr>
          <w:rFonts w:ascii="Times New Roman" w:hAnsi="Times New Roman" w:cs="Times New Roman"/>
          <w:sz w:val="24"/>
          <w:szCs w:val="24"/>
          <w:lang w:eastAsia="it-IT"/>
        </w:rPr>
        <w:t xml:space="preserve">Il </w:t>
      </w:r>
      <w:r w:rsidR="00852640">
        <w:rPr>
          <w:rFonts w:ascii="Times New Roman" w:hAnsi="Times New Roman" w:cs="Times New Roman"/>
          <w:sz w:val="24"/>
          <w:szCs w:val="24"/>
          <w:lang w:eastAsia="it-IT"/>
        </w:rPr>
        <w:t>terzo</w:t>
      </w:r>
      <w:r w:rsidRPr="00012F21">
        <w:rPr>
          <w:rFonts w:ascii="Times New Roman" w:hAnsi="Times New Roman" w:cs="Times New Roman"/>
          <w:sz w:val="24"/>
          <w:szCs w:val="24"/>
          <w:lang w:eastAsia="it-IT"/>
        </w:rPr>
        <w:t xml:space="preserve"> elemento, invece, consiste ne</w:t>
      </w:r>
      <w:r w:rsidR="00012F21" w:rsidRPr="00012F21">
        <w:rPr>
          <w:rFonts w:ascii="Times New Roman" w:hAnsi="Times New Roman" w:cs="Times New Roman"/>
          <w:sz w:val="24"/>
          <w:szCs w:val="24"/>
          <w:lang w:eastAsia="it-IT"/>
        </w:rPr>
        <w:t xml:space="preserve">lla c.d. </w:t>
      </w:r>
      <w:proofErr w:type="spellStart"/>
      <w:r w:rsidR="00012F21" w:rsidRPr="00012F21">
        <w:rPr>
          <w:rFonts w:ascii="Times New Roman" w:hAnsi="Times New Roman" w:cs="Times New Roman"/>
          <w:sz w:val="24"/>
          <w:szCs w:val="24"/>
          <w:lang w:eastAsia="it-IT"/>
        </w:rPr>
        <w:t>continguità</w:t>
      </w:r>
      <w:proofErr w:type="spellEnd"/>
      <w:r w:rsidR="00012F21" w:rsidRPr="00012F21">
        <w:rPr>
          <w:rFonts w:ascii="Times New Roman" w:hAnsi="Times New Roman" w:cs="Times New Roman"/>
          <w:sz w:val="24"/>
          <w:szCs w:val="24"/>
          <w:lang w:eastAsia="it-IT"/>
        </w:rPr>
        <w:t xml:space="preserve"> dei fondi: ciò significa che i fondi devono essere confinanti o, quantomeno, </w:t>
      </w:r>
      <w:r w:rsidR="006523BE">
        <w:rPr>
          <w:rFonts w:ascii="Times New Roman" w:hAnsi="Times New Roman" w:cs="Times New Roman"/>
          <w:sz w:val="24"/>
          <w:szCs w:val="24"/>
          <w:lang w:eastAsia="it-IT"/>
        </w:rPr>
        <w:t xml:space="preserve">significativamente </w:t>
      </w:r>
      <w:r w:rsidR="00012F21" w:rsidRPr="00012F21">
        <w:rPr>
          <w:rFonts w:ascii="Times New Roman" w:hAnsi="Times New Roman" w:cs="Times New Roman"/>
          <w:sz w:val="24"/>
          <w:szCs w:val="24"/>
          <w:lang w:eastAsia="it-IT"/>
        </w:rPr>
        <w:t>vicini.</w:t>
      </w:r>
      <w:r w:rsidR="00FB621D">
        <w:rPr>
          <w:rFonts w:ascii="Times New Roman" w:hAnsi="Times New Roman" w:cs="Times New Roman"/>
          <w:sz w:val="24"/>
          <w:szCs w:val="24"/>
          <w:lang w:eastAsia="it-IT"/>
        </w:rPr>
        <w:t xml:space="preserve"> È evidente che tale requisito, tranne che nell’ipotesi </w:t>
      </w:r>
      <w:r w:rsidR="00FB4CA3">
        <w:rPr>
          <w:rFonts w:ascii="Times New Roman" w:hAnsi="Times New Roman" w:cs="Times New Roman"/>
          <w:sz w:val="24"/>
          <w:szCs w:val="24"/>
          <w:lang w:eastAsia="it-IT"/>
        </w:rPr>
        <w:t xml:space="preserve">ovvia </w:t>
      </w:r>
      <w:r w:rsidR="00FB621D">
        <w:rPr>
          <w:rFonts w:ascii="Times New Roman" w:hAnsi="Times New Roman" w:cs="Times New Roman"/>
          <w:sz w:val="24"/>
          <w:szCs w:val="24"/>
          <w:lang w:eastAsia="it-IT"/>
        </w:rPr>
        <w:t xml:space="preserve">di condivisione di un lato quale confine fra i due lotti, sia da riscontrare con una verifica puntuale caso per caso, </w:t>
      </w:r>
      <w:r w:rsidR="00FB621D" w:rsidRPr="00F34C6A">
        <w:rPr>
          <w:rFonts w:ascii="Times New Roman" w:hAnsi="Times New Roman" w:cs="Times New Roman"/>
          <w:sz w:val="24"/>
          <w:szCs w:val="24"/>
          <w:lang w:eastAsia="it-IT"/>
        </w:rPr>
        <w:t>in mancanza di una univoca previsione normativa</w:t>
      </w:r>
      <w:r w:rsidR="00FB621D">
        <w:rPr>
          <w:rFonts w:ascii="Times New Roman" w:hAnsi="Times New Roman" w:cs="Times New Roman"/>
          <w:sz w:val="24"/>
          <w:szCs w:val="24"/>
          <w:lang w:eastAsia="it-IT"/>
        </w:rPr>
        <w:t xml:space="preserve"> e senza poter </w:t>
      </w:r>
      <w:r w:rsidR="00FB621D" w:rsidRPr="00F34C6A">
        <w:rPr>
          <w:rFonts w:ascii="Times New Roman" w:hAnsi="Times New Roman" w:cs="Times New Roman"/>
          <w:sz w:val="24"/>
          <w:szCs w:val="24"/>
          <w:lang w:eastAsia="it-IT"/>
        </w:rPr>
        <w:t>prescindere dalla concretezza delle singole fattispecie</w:t>
      </w:r>
      <w:r w:rsidR="00FB621D">
        <w:rPr>
          <w:rStyle w:val="Rimandonotaapidipagina"/>
          <w:rFonts w:ascii="Times New Roman" w:hAnsi="Times New Roman" w:cs="Times New Roman"/>
          <w:sz w:val="24"/>
          <w:szCs w:val="24"/>
          <w:lang w:eastAsia="it-IT"/>
        </w:rPr>
        <w:footnoteReference w:id="11"/>
      </w:r>
      <w:r w:rsidR="00FB621D" w:rsidRPr="00F34C6A">
        <w:rPr>
          <w:rFonts w:ascii="Times New Roman" w:hAnsi="Times New Roman" w:cs="Times New Roman"/>
          <w:sz w:val="24"/>
          <w:szCs w:val="24"/>
          <w:lang w:eastAsia="it-IT"/>
        </w:rPr>
        <w:t>.</w:t>
      </w:r>
    </w:p>
    <w:p w:rsidR="00FB4CA3" w:rsidRDefault="00FB621D" w:rsidP="006523BE">
      <w:pPr>
        <w:pStyle w:val="Nessunaspaziatura"/>
        <w:spacing w:line="36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Anche qui la casistica giurisprudenziale può essere utile: infatti, la significativa vicinanza è stata ritenuta esistente nel caso di due fondi distanzi fra loro circa 35 metri</w:t>
      </w:r>
      <w:r>
        <w:rPr>
          <w:rStyle w:val="Rimandonotaapidipagina"/>
          <w:rFonts w:ascii="Times New Roman" w:hAnsi="Times New Roman" w:cs="Times New Roman"/>
          <w:sz w:val="24"/>
          <w:szCs w:val="24"/>
          <w:lang w:eastAsia="it-IT"/>
        </w:rPr>
        <w:footnoteReference w:id="12"/>
      </w:r>
      <w:r w:rsidR="00852640">
        <w:rPr>
          <w:rFonts w:ascii="Times New Roman" w:hAnsi="Times New Roman" w:cs="Times New Roman"/>
          <w:sz w:val="24"/>
          <w:szCs w:val="24"/>
          <w:lang w:eastAsia="it-IT"/>
        </w:rPr>
        <w:t>, 40 metri</w:t>
      </w:r>
      <w:r w:rsidR="00852640">
        <w:rPr>
          <w:rStyle w:val="Rimandonotaapidipagina"/>
          <w:rFonts w:ascii="Times New Roman" w:hAnsi="Times New Roman" w:cs="Times New Roman"/>
          <w:sz w:val="24"/>
          <w:szCs w:val="24"/>
          <w:lang w:eastAsia="it-IT"/>
        </w:rPr>
        <w:footnoteReference w:id="13"/>
      </w:r>
      <w:r w:rsidR="00852640">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ovvero posti ad una distanza oscillante fra i 21 ed i 40 metri</w:t>
      </w:r>
      <w:r>
        <w:rPr>
          <w:rStyle w:val="Rimandonotaapidipagina"/>
          <w:rFonts w:ascii="Times New Roman" w:hAnsi="Times New Roman" w:cs="Times New Roman"/>
          <w:sz w:val="24"/>
          <w:szCs w:val="24"/>
          <w:lang w:eastAsia="it-IT"/>
        </w:rPr>
        <w:footnoteReference w:id="14"/>
      </w:r>
      <w:r>
        <w:rPr>
          <w:rFonts w:ascii="Times New Roman" w:hAnsi="Times New Roman" w:cs="Times New Roman"/>
          <w:sz w:val="24"/>
          <w:szCs w:val="24"/>
          <w:lang w:eastAsia="it-IT"/>
        </w:rPr>
        <w:t xml:space="preserve"> o, ancora, fra i 25 ed i 30 metri</w:t>
      </w:r>
      <w:r>
        <w:rPr>
          <w:rStyle w:val="Rimandonotaapidipagina"/>
          <w:rFonts w:ascii="Times New Roman" w:hAnsi="Times New Roman" w:cs="Times New Roman"/>
          <w:sz w:val="24"/>
          <w:szCs w:val="24"/>
          <w:lang w:eastAsia="it-IT"/>
        </w:rPr>
        <w:footnoteReference w:id="15"/>
      </w:r>
      <w:r>
        <w:rPr>
          <w:rFonts w:ascii="Times New Roman" w:hAnsi="Times New Roman" w:cs="Times New Roman"/>
          <w:sz w:val="24"/>
          <w:szCs w:val="24"/>
          <w:lang w:eastAsia="it-IT"/>
        </w:rPr>
        <w:t>; al contrario, è stata negata nel caso di una distanza di circa 300 metri</w:t>
      </w:r>
      <w:r>
        <w:rPr>
          <w:rStyle w:val="Rimandonotaapidipagina"/>
          <w:rFonts w:ascii="Times New Roman" w:hAnsi="Times New Roman" w:cs="Times New Roman"/>
          <w:sz w:val="24"/>
          <w:szCs w:val="24"/>
          <w:lang w:eastAsia="it-IT"/>
        </w:rPr>
        <w:footnoteReference w:id="16"/>
      </w:r>
      <w:r>
        <w:rPr>
          <w:rFonts w:ascii="Times New Roman" w:hAnsi="Times New Roman" w:cs="Times New Roman"/>
          <w:sz w:val="24"/>
          <w:szCs w:val="24"/>
          <w:lang w:eastAsia="it-IT"/>
        </w:rPr>
        <w:t>.</w:t>
      </w:r>
      <w:r w:rsidR="003E0AA8">
        <w:rPr>
          <w:rFonts w:ascii="Times New Roman" w:hAnsi="Times New Roman" w:cs="Times New Roman"/>
          <w:sz w:val="24"/>
          <w:szCs w:val="24"/>
          <w:lang w:eastAsia="it-IT"/>
        </w:rPr>
        <w:t xml:space="preserve"> </w:t>
      </w:r>
    </w:p>
    <w:p w:rsidR="00012F21" w:rsidRDefault="003E0AA8" w:rsidP="006523BE">
      <w:pPr>
        <w:pStyle w:val="Nessunaspaziatura"/>
        <w:spacing w:line="36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Sempre la giurisprudenza ha chiarito che non è di ostacolo la presenza di una strada </w:t>
      </w:r>
      <w:r w:rsidR="003B6F02">
        <w:rPr>
          <w:rFonts w:ascii="Times New Roman" w:hAnsi="Times New Roman" w:cs="Times New Roman"/>
          <w:sz w:val="24"/>
          <w:szCs w:val="24"/>
          <w:lang w:eastAsia="it-IT"/>
        </w:rPr>
        <w:t xml:space="preserve">o di un fosso di scolo </w:t>
      </w:r>
      <w:r>
        <w:rPr>
          <w:rFonts w:ascii="Times New Roman" w:hAnsi="Times New Roman" w:cs="Times New Roman"/>
          <w:sz w:val="24"/>
          <w:szCs w:val="24"/>
          <w:lang w:eastAsia="it-IT"/>
        </w:rPr>
        <w:t>fra i lotti</w:t>
      </w:r>
      <w:r>
        <w:rPr>
          <w:rStyle w:val="Rimandonotaapidipagina"/>
          <w:rFonts w:ascii="Times New Roman" w:hAnsi="Times New Roman" w:cs="Times New Roman"/>
          <w:sz w:val="24"/>
          <w:szCs w:val="24"/>
          <w:lang w:eastAsia="it-IT"/>
        </w:rPr>
        <w:footnoteReference w:id="17"/>
      </w:r>
      <w:r w:rsidR="00FB4CA3">
        <w:rPr>
          <w:rFonts w:ascii="Times New Roman" w:hAnsi="Times New Roman" w:cs="Times New Roman"/>
          <w:sz w:val="24"/>
          <w:szCs w:val="24"/>
          <w:lang w:eastAsia="it-IT"/>
        </w:rPr>
        <w:t xml:space="preserve"> ai fini della contiguità</w:t>
      </w:r>
      <w:r>
        <w:rPr>
          <w:rFonts w:ascii="Times New Roman" w:hAnsi="Times New Roman" w:cs="Times New Roman"/>
          <w:sz w:val="24"/>
          <w:szCs w:val="24"/>
          <w:lang w:eastAsia="it-IT"/>
        </w:rPr>
        <w:t>.</w:t>
      </w:r>
    </w:p>
    <w:p w:rsidR="00803AA0" w:rsidRDefault="00803AA0" w:rsidP="006523BE">
      <w:pPr>
        <w:pStyle w:val="Nessunaspaziatura"/>
        <w:spacing w:line="360" w:lineRule="auto"/>
        <w:ind w:firstLine="708"/>
        <w:jc w:val="both"/>
        <w:rPr>
          <w:rFonts w:ascii="Times New Roman" w:hAnsi="Times New Roman" w:cs="Times New Roman"/>
          <w:sz w:val="24"/>
        </w:rPr>
      </w:pPr>
      <w:r>
        <w:rPr>
          <w:rFonts w:ascii="Times New Roman" w:hAnsi="Times New Roman" w:cs="Times New Roman"/>
          <w:sz w:val="24"/>
        </w:rPr>
        <w:t>Secondo la Corte di cassazione</w:t>
      </w:r>
      <w:r>
        <w:rPr>
          <w:rStyle w:val="Rimandonotaapidipagina"/>
          <w:rFonts w:ascii="Times New Roman" w:hAnsi="Times New Roman" w:cs="Times New Roman"/>
          <w:sz w:val="24"/>
        </w:rPr>
        <w:footnoteReference w:id="18"/>
      </w:r>
      <w:r>
        <w:rPr>
          <w:rFonts w:ascii="Times New Roman" w:hAnsi="Times New Roman" w:cs="Times New Roman"/>
          <w:sz w:val="24"/>
        </w:rPr>
        <w:t xml:space="preserve">, il requisito della vicinanza fra fondo cedente e fondo ricevente è fondamentale per evitare </w:t>
      </w:r>
      <w:r w:rsidRPr="00803AA0">
        <w:rPr>
          <w:rFonts w:ascii="Times New Roman" w:hAnsi="Times New Roman" w:cs="Times New Roman"/>
          <w:sz w:val="24"/>
        </w:rPr>
        <w:t>per un verso una situazione di "affollamento edilizio" in determinate zone (quelle ove sono ubicati i fondi cessionari) e di carenza in altre (ove sono situate i terreni cedenti), con evidente pregiudizio per l'attuazione dei complessivi criteri di programmazione edilizia contenuti negli strumenti urbanistici</w:t>
      </w:r>
      <w:r>
        <w:rPr>
          <w:rFonts w:ascii="Times New Roman" w:hAnsi="Times New Roman" w:cs="Times New Roman"/>
          <w:sz w:val="24"/>
        </w:rPr>
        <w:t>.</w:t>
      </w:r>
    </w:p>
    <w:p w:rsidR="00803AA0" w:rsidRDefault="00803AA0" w:rsidP="006523BE">
      <w:pPr>
        <w:pStyle w:val="Nessunaspaziatura"/>
        <w:spacing w:line="360" w:lineRule="auto"/>
        <w:ind w:firstLine="708"/>
        <w:jc w:val="both"/>
        <w:rPr>
          <w:rFonts w:ascii="Times New Roman" w:hAnsi="Times New Roman" w:cs="Times New Roman"/>
          <w:sz w:val="24"/>
          <w:szCs w:val="24"/>
          <w:lang w:eastAsia="it-IT"/>
        </w:rPr>
      </w:pPr>
    </w:p>
    <w:p w:rsidR="003E0AA8" w:rsidRDefault="003E0AA8" w:rsidP="00F34C6A">
      <w:pPr>
        <w:pStyle w:val="Nessunaspaziatura"/>
        <w:jc w:val="both"/>
        <w:rPr>
          <w:rFonts w:ascii="Times New Roman" w:hAnsi="Times New Roman" w:cs="Times New Roman"/>
          <w:sz w:val="24"/>
          <w:szCs w:val="24"/>
          <w:lang w:eastAsia="it-IT"/>
        </w:rPr>
      </w:pPr>
    </w:p>
    <w:p w:rsidR="00852640" w:rsidRPr="00852640" w:rsidRDefault="00852640" w:rsidP="00852640">
      <w:pPr>
        <w:pStyle w:val="Nessunaspaziatura"/>
        <w:numPr>
          <w:ilvl w:val="0"/>
          <w:numId w:val="1"/>
        </w:numPr>
        <w:spacing w:line="360" w:lineRule="auto"/>
        <w:jc w:val="both"/>
        <w:rPr>
          <w:rFonts w:ascii="Times New Roman" w:hAnsi="Times New Roman" w:cs="Times New Roman"/>
          <w:b/>
          <w:color w:val="FF0000"/>
          <w:sz w:val="24"/>
          <w:szCs w:val="24"/>
          <w:lang w:eastAsia="it-IT"/>
        </w:rPr>
      </w:pPr>
      <w:r w:rsidRPr="00852640">
        <w:rPr>
          <w:rFonts w:ascii="Times New Roman" w:hAnsi="Times New Roman" w:cs="Times New Roman"/>
          <w:b/>
          <w:color w:val="FF0000"/>
          <w:sz w:val="24"/>
          <w:szCs w:val="24"/>
          <w:lang w:eastAsia="it-IT"/>
        </w:rPr>
        <w:t>Un’ipotesi particolar</w:t>
      </w:r>
      <w:bookmarkStart w:id="0" w:name="_GoBack"/>
      <w:bookmarkEnd w:id="0"/>
      <w:r w:rsidRPr="00852640">
        <w:rPr>
          <w:rFonts w:ascii="Times New Roman" w:hAnsi="Times New Roman" w:cs="Times New Roman"/>
          <w:b/>
          <w:color w:val="FF0000"/>
          <w:sz w:val="24"/>
          <w:szCs w:val="24"/>
          <w:lang w:eastAsia="it-IT"/>
        </w:rPr>
        <w:t>e: la cessione di cubatura fra lotti ricadenti in Comuni diversi</w:t>
      </w:r>
    </w:p>
    <w:p w:rsidR="00FE7DDD" w:rsidRPr="00852640" w:rsidRDefault="00852640" w:rsidP="00852640">
      <w:pPr>
        <w:pStyle w:val="Nessunaspaziatura"/>
        <w:spacing w:line="360" w:lineRule="auto"/>
        <w:ind w:firstLine="708"/>
        <w:jc w:val="both"/>
        <w:rPr>
          <w:rFonts w:ascii="Times New Roman" w:hAnsi="Times New Roman" w:cs="Times New Roman"/>
          <w:sz w:val="24"/>
          <w:szCs w:val="24"/>
          <w:lang w:eastAsia="it-IT"/>
        </w:rPr>
      </w:pPr>
      <w:r w:rsidRPr="00852640">
        <w:rPr>
          <w:rFonts w:ascii="Times New Roman" w:hAnsi="Times New Roman" w:cs="Times New Roman"/>
          <w:sz w:val="24"/>
          <w:szCs w:val="24"/>
        </w:rPr>
        <w:t>Proprio lo stretto e inscindibile legame tra atti di asservimento e rispetto delle prescrizioni della normativa urbanistica, quale espressione del governo e del</w:t>
      </w:r>
      <w:r w:rsidR="002263C7">
        <w:rPr>
          <w:rFonts w:ascii="Times New Roman" w:hAnsi="Times New Roman" w:cs="Times New Roman"/>
          <w:sz w:val="24"/>
          <w:szCs w:val="24"/>
        </w:rPr>
        <w:t>la pianificazione del territorio</w:t>
      </w:r>
      <w:r w:rsidRPr="00852640">
        <w:rPr>
          <w:rFonts w:ascii="Times New Roman" w:hAnsi="Times New Roman" w:cs="Times New Roman"/>
          <w:sz w:val="24"/>
          <w:szCs w:val="24"/>
        </w:rPr>
        <w:t xml:space="preserve"> </w:t>
      </w:r>
      <w:r w:rsidRPr="00852640">
        <w:rPr>
          <w:rFonts w:ascii="Times New Roman" w:hAnsi="Times New Roman" w:cs="Times New Roman"/>
          <w:sz w:val="24"/>
          <w:szCs w:val="24"/>
        </w:rPr>
        <w:lastRenderedPageBreak/>
        <w:t>comunale induce a ritenere non ammissibili ai fini del rilascio di provvedimenti autorizzativi in materia edilizia – atti di asser</w:t>
      </w:r>
      <w:r>
        <w:rPr>
          <w:rFonts w:ascii="Times New Roman" w:hAnsi="Times New Roman" w:cs="Times New Roman"/>
          <w:sz w:val="24"/>
          <w:szCs w:val="24"/>
        </w:rPr>
        <w:t>vimento tra terreni ubicati in C</w:t>
      </w:r>
      <w:r w:rsidRPr="00852640">
        <w:rPr>
          <w:rFonts w:ascii="Times New Roman" w:hAnsi="Times New Roman" w:cs="Times New Roman"/>
          <w:sz w:val="24"/>
          <w:szCs w:val="24"/>
        </w:rPr>
        <w:t>omuni diversi.</w:t>
      </w:r>
    </w:p>
    <w:p w:rsidR="00012F21" w:rsidRDefault="00012F21" w:rsidP="00F34C6A">
      <w:pPr>
        <w:pStyle w:val="Nessunaspaziatura"/>
        <w:jc w:val="both"/>
        <w:rPr>
          <w:rFonts w:ascii="Times New Roman" w:eastAsia="Times New Roman" w:hAnsi="Times New Roman" w:cs="Times New Roman"/>
          <w:sz w:val="24"/>
          <w:szCs w:val="24"/>
          <w:lang w:eastAsia="it-IT"/>
        </w:rPr>
      </w:pPr>
    </w:p>
    <w:p w:rsidR="00852640" w:rsidRPr="00F34C6A" w:rsidRDefault="00852640" w:rsidP="00F34C6A">
      <w:pPr>
        <w:pStyle w:val="Nessunaspaziatura"/>
        <w:jc w:val="both"/>
        <w:rPr>
          <w:rFonts w:ascii="Times New Roman" w:hAnsi="Times New Roman" w:cs="Times New Roman"/>
          <w:sz w:val="24"/>
          <w:szCs w:val="24"/>
        </w:rPr>
      </w:pPr>
    </w:p>
    <w:sectPr w:rsidR="00852640" w:rsidRPr="00F34C6A" w:rsidSect="00CB1C7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478" w:rsidRDefault="00301478" w:rsidP="00DE310C">
      <w:pPr>
        <w:spacing w:after="0" w:line="240" w:lineRule="auto"/>
      </w:pPr>
      <w:r>
        <w:separator/>
      </w:r>
    </w:p>
  </w:endnote>
  <w:endnote w:type="continuationSeparator" w:id="0">
    <w:p w:rsidR="00301478" w:rsidRDefault="00301478" w:rsidP="00DE3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478" w:rsidRDefault="00301478" w:rsidP="00DE310C">
      <w:pPr>
        <w:spacing w:after="0" w:line="240" w:lineRule="auto"/>
      </w:pPr>
      <w:r>
        <w:separator/>
      </w:r>
    </w:p>
  </w:footnote>
  <w:footnote w:type="continuationSeparator" w:id="0">
    <w:p w:rsidR="00301478" w:rsidRDefault="00301478" w:rsidP="00DE310C">
      <w:pPr>
        <w:spacing w:after="0" w:line="240" w:lineRule="auto"/>
      </w:pPr>
      <w:r>
        <w:continuationSeparator/>
      </w:r>
    </w:p>
  </w:footnote>
  <w:footnote w:id="1">
    <w:p w:rsidR="00DE310C" w:rsidRPr="006523BE" w:rsidRDefault="00DE310C" w:rsidP="006523BE">
      <w:pPr>
        <w:pStyle w:val="Testonotaapidipagina"/>
        <w:jc w:val="both"/>
        <w:rPr>
          <w:rFonts w:ascii="Times New Roman" w:hAnsi="Times New Roman" w:cs="Times New Roman"/>
        </w:rPr>
      </w:pPr>
      <w:r w:rsidRPr="006523BE">
        <w:rPr>
          <w:rStyle w:val="Rimandonotaapidipagina"/>
          <w:rFonts w:ascii="Times New Roman" w:hAnsi="Times New Roman" w:cs="Times New Roman"/>
        </w:rPr>
        <w:footnoteRef/>
      </w:r>
      <w:r w:rsidRPr="006523BE">
        <w:rPr>
          <w:rFonts w:ascii="Times New Roman" w:hAnsi="Times New Roman" w:cs="Times New Roman"/>
        </w:rPr>
        <w:t xml:space="preserve"> Consiglio di Stato, sez. </w:t>
      </w:r>
      <w:proofErr w:type="spellStart"/>
      <w:r w:rsidRPr="006523BE">
        <w:rPr>
          <w:rFonts w:ascii="Times New Roman" w:hAnsi="Times New Roman" w:cs="Times New Roman"/>
        </w:rPr>
        <w:t>VI</w:t>
      </w:r>
      <w:proofErr w:type="spellEnd"/>
      <w:r w:rsidRPr="006523BE">
        <w:rPr>
          <w:rFonts w:ascii="Times New Roman" w:hAnsi="Times New Roman" w:cs="Times New Roman"/>
        </w:rPr>
        <w:t>, sent. n. 4861/2016.</w:t>
      </w:r>
    </w:p>
  </w:footnote>
  <w:footnote w:id="2">
    <w:p w:rsidR="006523BE" w:rsidRPr="003E0AA8" w:rsidRDefault="006523BE" w:rsidP="003E0AA8">
      <w:pPr>
        <w:pStyle w:val="Testonotaapidipagina"/>
        <w:jc w:val="both"/>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w:t>
      </w:r>
      <w:r w:rsidR="003E0AA8" w:rsidRPr="003E0AA8">
        <w:rPr>
          <w:rFonts w:ascii="Times New Roman" w:hAnsi="Times New Roman" w:cs="Times New Roman"/>
        </w:rPr>
        <w:t>“</w:t>
      </w:r>
      <w:r w:rsidR="003E0AA8" w:rsidRPr="003E0AA8">
        <w:rPr>
          <w:rFonts w:ascii="Times New Roman" w:hAnsi="Times New Roman" w:cs="Times New Roman"/>
          <w:i/>
        </w:rPr>
        <w:t>Deve ritenersi inammissibile il trasferimento di cubatura a fronte di una norma di piano che per le zone agricole, non ammette costruzioni in lotti di dimensioni inferiori ad un limite minimo fissato dal piano medesimo, in quanto la ratio di una disposizione siffatta si connette al prefigurato regime di edificazione nelle zone agricole ed al nesso di funzionalità delle costruzioni ammissibili rispetto alla gestione di aziende agricole</w:t>
      </w:r>
      <w:r w:rsidR="003E0AA8" w:rsidRPr="003E0AA8">
        <w:rPr>
          <w:rFonts w:ascii="Times New Roman" w:hAnsi="Times New Roman" w:cs="Times New Roman"/>
        </w:rPr>
        <w:t>”: TAR Campania, Salerno, sez. I, sent. 19 settembre 2014, n. 1657.</w:t>
      </w:r>
    </w:p>
  </w:footnote>
  <w:footnote w:id="3">
    <w:p w:rsidR="00F61906" w:rsidRPr="00F61906" w:rsidRDefault="00F61906">
      <w:pPr>
        <w:pStyle w:val="Testonotaapidipagina"/>
        <w:rPr>
          <w:rFonts w:ascii="Times New Roman" w:hAnsi="Times New Roman" w:cs="Times New Roman"/>
        </w:rPr>
      </w:pPr>
      <w:r w:rsidRPr="00F61906">
        <w:rPr>
          <w:rStyle w:val="Rimandonotaapidipagina"/>
          <w:rFonts w:ascii="Times New Roman" w:hAnsi="Times New Roman" w:cs="Times New Roman"/>
        </w:rPr>
        <w:footnoteRef/>
      </w:r>
      <w:r w:rsidRPr="00F61906">
        <w:rPr>
          <w:rFonts w:ascii="Times New Roman" w:hAnsi="Times New Roman" w:cs="Times New Roman"/>
        </w:rPr>
        <w:t xml:space="preserve"> </w:t>
      </w:r>
      <w:r>
        <w:rPr>
          <w:rFonts w:ascii="Times New Roman" w:hAnsi="Times New Roman" w:cs="Times New Roman"/>
        </w:rPr>
        <w:t xml:space="preserve">Per un caso concreto si rinvia a </w:t>
      </w:r>
      <w:r w:rsidRPr="00F61906">
        <w:rPr>
          <w:rFonts w:ascii="Times New Roman" w:hAnsi="Times New Roman" w:cs="Times New Roman"/>
        </w:rPr>
        <w:t>TAR Campania</w:t>
      </w:r>
      <w:r>
        <w:rPr>
          <w:rFonts w:ascii="Times New Roman" w:hAnsi="Times New Roman" w:cs="Times New Roman"/>
        </w:rPr>
        <w:t>, Napoli, s</w:t>
      </w:r>
      <w:r w:rsidRPr="00F61906">
        <w:rPr>
          <w:rFonts w:ascii="Times New Roman" w:hAnsi="Times New Roman" w:cs="Times New Roman"/>
        </w:rPr>
        <w:t>ez. II</w:t>
      </w:r>
      <w:r>
        <w:rPr>
          <w:rFonts w:ascii="Times New Roman" w:hAnsi="Times New Roman" w:cs="Times New Roman"/>
        </w:rPr>
        <w:t>, sent.</w:t>
      </w:r>
      <w:r w:rsidRPr="00F61906">
        <w:rPr>
          <w:rFonts w:ascii="Times New Roman" w:hAnsi="Times New Roman" w:cs="Times New Roman"/>
        </w:rPr>
        <w:t xml:space="preserve"> </w:t>
      </w:r>
      <w:r>
        <w:rPr>
          <w:rFonts w:ascii="Times New Roman" w:hAnsi="Times New Roman" w:cs="Times New Roman"/>
        </w:rPr>
        <w:t xml:space="preserve">5 settembre 2017, </w:t>
      </w:r>
      <w:r w:rsidRPr="00F61906">
        <w:rPr>
          <w:rFonts w:ascii="Times New Roman" w:hAnsi="Times New Roman" w:cs="Times New Roman"/>
        </w:rPr>
        <w:t>n. 4221.</w:t>
      </w:r>
    </w:p>
  </w:footnote>
  <w:footnote w:id="4">
    <w:p w:rsidR="00B8461A" w:rsidRPr="00B8461A" w:rsidRDefault="00B8461A" w:rsidP="00B8461A">
      <w:pPr>
        <w:pStyle w:val="Default"/>
        <w:jc w:val="both"/>
        <w:rPr>
          <w:sz w:val="20"/>
          <w:szCs w:val="20"/>
        </w:rPr>
      </w:pPr>
      <w:r w:rsidRPr="00B8461A">
        <w:rPr>
          <w:rStyle w:val="Rimandonotaapidipagina"/>
          <w:sz w:val="20"/>
          <w:szCs w:val="20"/>
        </w:rPr>
        <w:footnoteRef/>
      </w:r>
      <w:r w:rsidRPr="00B8461A">
        <w:rPr>
          <w:sz w:val="20"/>
          <w:szCs w:val="20"/>
        </w:rPr>
        <w:t xml:space="preserve"> Art. 2 del Regolamento comunale</w:t>
      </w:r>
      <w:r w:rsidR="00801563">
        <w:rPr>
          <w:sz w:val="20"/>
          <w:szCs w:val="20"/>
        </w:rPr>
        <w:t>, delibera C.C.</w:t>
      </w:r>
      <w:r w:rsidRPr="00B8461A">
        <w:rPr>
          <w:sz w:val="20"/>
          <w:szCs w:val="20"/>
        </w:rPr>
        <w:t xml:space="preserve"> n. 37 del 10 ottobre 2017, contenente i </w:t>
      </w:r>
      <w:r w:rsidRPr="00B8461A">
        <w:rPr>
          <w:b/>
          <w:bCs/>
          <w:i/>
          <w:iCs/>
          <w:sz w:val="20"/>
          <w:szCs w:val="20"/>
        </w:rPr>
        <w:t>c</w:t>
      </w:r>
      <w:r w:rsidRPr="00B8461A">
        <w:rPr>
          <w:bCs/>
          <w:iCs/>
          <w:sz w:val="20"/>
          <w:szCs w:val="20"/>
        </w:rPr>
        <w:t>riteri per l'attuazione della cessione della cubatura di cui all'art. 22 della legge regionale n. 16/2016.</w:t>
      </w:r>
    </w:p>
  </w:footnote>
  <w:footnote w:id="5">
    <w:p w:rsidR="00801563" w:rsidRPr="00801563" w:rsidRDefault="00801563">
      <w:pPr>
        <w:pStyle w:val="Testonotaapidipagina"/>
        <w:rPr>
          <w:rFonts w:ascii="Times New Roman" w:hAnsi="Times New Roman" w:cs="Times New Roman"/>
        </w:rPr>
      </w:pPr>
      <w:r w:rsidRPr="00801563">
        <w:rPr>
          <w:rStyle w:val="Rimandonotaapidipagina"/>
          <w:rFonts w:ascii="Times New Roman" w:hAnsi="Times New Roman" w:cs="Times New Roman"/>
        </w:rPr>
        <w:footnoteRef/>
      </w:r>
      <w:r w:rsidRPr="00801563">
        <w:rPr>
          <w:rFonts w:ascii="Times New Roman" w:hAnsi="Times New Roman" w:cs="Times New Roman"/>
        </w:rPr>
        <w:t xml:space="preserve"> Regolamento Edilizio, </w:t>
      </w:r>
      <w:proofErr w:type="spellStart"/>
      <w:r w:rsidR="003D2176">
        <w:rPr>
          <w:rFonts w:ascii="Times New Roman" w:hAnsi="Times New Roman" w:cs="Times New Roman"/>
        </w:rPr>
        <w:t>delib</w:t>
      </w:r>
      <w:proofErr w:type="spellEnd"/>
      <w:r w:rsidR="003D2176">
        <w:rPr>
          <w:rFonts w:ascii="Times New Roman" w:hAnsi="Times New Roman" w:cs="Times New Roman"/>
        </w:rPr>
        <w:t>. C.C.</w:t>
      </w:r>
      <w:r>
        <w:rPr>
          <w:rFonts w:ascii="Times New Roman" w:hAnsi="Times New Roman" w:cs="Times New Roman"/>
        </w:rPr>
        <w:t xml:space="preserve"> n. 29/1992, </w:t>
      </w:r>
      <w:r w:rsidRPr="00801563">
        <w:rPr>
          <w:rFonts w:ascii="Times New Roman" w:hAnsi="Times New Roman" w:cs="Times New Roman"/>
        </w:rPr>
        <w:t>art. 2.1.13.</w:t>
      </w:r>
    </w:p>
  </w:footnote>
  <w:footnote w:id="6">
    <w:p w:rsidR="00852640" w:rsidRDefault="00852640" w:rsidP="00852640">
      <w:pPr>
        <w:pStyle w:val="Testonotaapidipagina"/>
      </w:pPr>
      <w:r w:rsidRPr="003E0AA8">
        <w:rPr>
          <w:rStyle w:val="Rimandonotaapidipagina"/>
          <w:rFonts w:ascii="Times New Roman" w:hAnsi="Times New Roman" w:cs="Times New Roman"/>
        </w:rPr>
        <w:footnoteRef/>
      </w:r>
      <w:r w:rsidRPr="003E0AA8">
        <w:rPr>
          <w:rFonts w:ascii="Times New Roman" w:hAnsi="Times New Roman" w:cs="Times New Roman"/>
        </w:rPr>
        <w:t xml:space="preserve"> TAR Campania, Salerno, sez. I, sent. 19 settembre 2014, n. 1657.</w:t>
      </w:r>
    </w:p>
  </w:footnote>
  <w:footnote w:id="7">
    <w:p w:rsidR="00FE7DDD" w:rsidRDefault="00FE7DDD" w:rsidP="006523BE">
      <w:pPr>
        <w:pStyle w:val="Testonotaapidipagina"/>
        <w:jc w:val="both"/>
      </w:pPr>
      <w:r w:rsidRPr="006523BE">
        <w:rPr>
          <w:rStyle w:val="Rimandonotaapidipagina"/>
          <w:rFonts w:ascii="Times New Roman" w:hAnsi="Times New Roman" w:cs="Times New Roman"/>
        </w:rPr>
        <w:footnoteRef/>
      </w:r>
      <w:r w:rsidRPr="006523BE">
        <w:rPr>
          <w:rFonts w:ascii="Times New Roman" w:hAnsi="Times New Roman" w:cs="Times New Roman"/>
        </w:rPr>
        <w:t xml:space="preserve"> Consiglio di Stato, sez. V, </w:t>
      </w:r>
      <w:r w:rsidR="006523BE" w:rsidRPr="006523BE">
        <w:rPr>
          <w:rFonts w:ascii="Times New Roman" w:hAnsi="Times New Roman" w:cs="Times New Roman"/>
        </w:rPr>
        <w:t xml:space="preserve">sent. </w:t>
      </w:r>
      <w:r w:rsidRPr="006523BE">
        <w:rPr>
          <w:rFonts w:ascii="Times New Roman" w:hAnsi="Times New Roman" w:cs="Times New Roman"/>
        </w:rPr>
        <w:t>22 ottobre 2007, n. 5496</w:t>
      </w:r>
      <w:r w:rsidR="006523BE" w:rsidRPr="006523BE">
        <w:rPr>
          <w:rFonts w:ascii="Times New Roman" w:hAnsi="Times New Roman" w:cs="Times New Roman"/>
        </w:rPr>
        <w:t>; TAR Campania, Napoli, sez. VIII, sent. 6 dicembre 2011, n. 5867.</w:t>
      </w:r>
    </w:p>
  </w:footnote>
  <w:footnote w:id="8">
    <w:p w:rsidR="00300C8A" w:rsidRPr="003E0AA8" w:rsidRDefault="00300C8A">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w:t>
      </w:r>
      <w:r w:rsidR="003E0AA8" w:rsidRPr="003E0AA8">
        <w:rPr>
          <w:rFonts w:ascii="Times New Roman" w:hAnsi="Times New Roman" w:cs="Times New Roman"/>
        </w:rPr>
        <w:t>TAR Campania, Salerno, sez. I, sent. 19 settembre 2014, n. 1657.</w:t>
      </w:r>
    </w:p>
  </w:footnote>
  <w:footnote w:id="9">
    <w:p w:rsidR="00FB4CA3" w:rsidRDefault="00FB4CA3">
      <w:pPr>
        <w:pStyle w:val="Testonotaapidipagina"/>
      </w:pPr>
      <w:r>
        <w:rPr>
          <w:rStyle w:val="Rimandonotaapidipagina"/>
        </w:rPr>
        <w:footnoteRef/>
      </w:r>
      <w:r>
        <w:t xml:space="preserve"> </w:t>
      </w:r>
      <w:r w:rsidRPr="003E0AA8">
        <w:rPr>
          <w:rFonts w:ascii="Times New Roman" w:hAnsi="Times New Roman" w:cs="Times New Roman"/>
        </w:rPr>
        <w:t>TAR</w:t>
      </w:r>
      <w:r>
        <w:rPr>
          <w:rFonts w:ascii="Times New Roman" w:hAnsi="Times New Roman" w:cs="Times New Roman"/>
        </w:rPr>
        <w:t xml:space="preserve"> Sicilia, </w:t>
      </w:r>
      <w:r w:rsidRPr="003E0AA8">
        <w:rPr>
          <w:rFonts w:ascii="Times New Roman" w:hAnsi="Times New Roman" w:cs="Times New Roman"/>
        </w:rPr>
        <w:t xml:space="preserve">Catania, </w:t>
      </w:r>
      <w:r>
        <w:rPr>
          <w:rFonts w:ascii="Times New Roman" w:hAnsi="Times New Roman" w:cs="Times New Roman"/>
        </w:rPr>
        <w:t xml:space="preserve">sez. I, sent. 12 ottobre 2010, </w:t>
      </w:r>
      <w:r w:rsidRPr="003E0AA8">
        <w:rPr>
          <w:rFonts w:ascii="Times New Roman" w:hAnsi="Times New Roman" w:cs="Times New Roman"/>
        </w:rPr>
        <w:t>n. 4113</w:t>
      </w:r>
      <w:r>
        <w:rPr>
          <w:rFonts w:ascii="Times New Roman" w:hAnsi="Times New Roman" w:cs="Times New Roman"/>
        </w:rPr>
        <w:t>.</w:t>
      </w:r>
    </w:p>
  </w:footnote>
  <w:footnote w:id="10">
    <w:p w:rsidR="00803AA0" w:rsidRDefault="00803AA0">
      <w:pPr>
        <w:pStyle w:val="Testonotaapidipagina"/>
      </w:pPr>
      <w:r>
        <w:rPr>
          <w:rStyle w:val="Rimandonotaapidipagina"/>
        </w:rPr>
        <w:footnoteRef/>
      </w:r>
      <w:r>
        <w:t xml:space="preserve"> </w:t>
      </w:r>
      <w:r w:rsidRPr="00803AA0">
        <w:rPr>
          <w:rFonts w:ascii="Times New Roman" w:hAnsi="Times New Roman" w:cs="Times New Roman"/>
        </w:rPr>
        <w:t xml:space="preserve">Sez. III </w:t>
      </w:r>
      <w:proofErr w:type="spellStart"/>
      <w:r w:rsidRPr="00803AA0">
        <w:rPr>
          <w:rFonts w:ascii="Times New Roman" w:hAnsi="Times New Roman" w:cs="Times New Roman"/>
        </w:rPr>
        <w:t>pen</w:t>
      </w:r>
      <w:proofErr w:type="spellEnd"/>
      <w:r w:rsidRPr="00803AA0">
        <w:rPr>
          <w:rFonts w:ascii="Times New Roman" w:hAnsi="Times New Roman" w:cs="Times New Roman"/>
        </w:rPr>
        <w:t>., sent. n. 26714/2015.</w:t>
      </w:r>
    </w:p>
  </w:footnote>
  <w:footnote w:id="11">
    <w:p w:rsidR="00FB621D" w:rsidRPr="003E0AA8" w:rsidRDefault="00FB621D">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TAR Piemonte, sez. II, sent. 18 luglio 2018, n. 890.</w:t>
      </w:r>
    </w:p>
  </w:footnote>
  <w:footnote w:id="12">
    <w:p w:rsidR="00FB621D" w:rsidRPr="003E0AA8" w:rsidRDefault="00FB621D">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Cons</w:t>
      </w:r>
      <w:r w:rsidR="00852640">
        <w:rPr>
          <w:rFonts w:ascii="Times New Roman" w:hAnsi="Times New Roman" w:cs="Times New Roman"/>
        </w:rPr>
        <w:t>iglio di Stato, s</w:t>
      </w:r>
      <w:r w:rsidRPr="003E0AA8">
        <w:rPr>
          <w:rFonts w:ascii="Times New Roman" w:hAnsi="Times New Roman" w:cs="Times New Roman"/>
        </w:rPr>
        <w:t xml:space="preserve">ez. </w:t>
      </w:r>
      <w:proofErr w:type="spellStart"/>
      <w:r w:rsidRPr="003E0AA8">
        <w:rPr>
          <w:rFonts w:ascii="Times New Roman" w:hAnsi="Times New Roman" w:cs="Times New Roman"/>
        </w:rPr>
        <w:t>VI</w:t>
      </w:r>
      <w:proofErr w:type="spellEnd"/>
      <w:r w:rsidRPr="003E0AA8">
        <w:rPr>
          <w:rFonts w:ascii="Times New Roman" w:hAnsi="Times New Roman" w:cs="Times New Roman"/>
        </w:rPr>
        <w:t xml:space="preserve">, </w:t>
      </w:r>
      <w:r w:rsidR="00852640">
        <w:rPr>
          <w:rFonts w:ascii="Times New Roman" w:hAnsi="Times New Roman" w:cs="Times New Roman"/>
        </w:rPr>
        <w:t xml:space="preserve">sent. </w:t>
      </w:r>
      <w:r w:rsidRPr="003E0AA8">
        <w:rPr>
          <w:rFonts w:ascii="Times New Roman" w:hAnsi="Times New Roman" w:cs="Times New Roman"/>
        </w:rPr>
        <w:t>n. 6734</w:t>
      </w:r>
      <w:r w:rsidR="00852640">
        <w:rPr>
          <w:rFonts w:ascii="Times New Roman" w:hAnsi="Times New Roman" w:cs="Times New Roman"/>
        </w:rPr>
        <w:t>/</w:t>
      </w:r>
      <w:r w:rsidRPr="003E0AA8">
        <w:rPr>
          <w:rFonts w:ascii="Times New Roman" w:hAnsi="Times New Roman" w:cs="Times New Roman"/>
        </w:rPr>
        <w:t>2003</w:t>
      </w:r>
    </w:p>
  </w:footnote>
  <w:footnote w:id="13">
    <w:p w:rsidR="00852640" w:rsidRDefault="00852640">
      <w:pPr>
        <w:pStyle w:val="Testonotaapidipagina"/>
      </w:pPr>
      <w:r>
        <w:rPr>
          <w:rStyle w:val="Rimandonotaapidipagina"/>
        </w:rPr>
        <w:footnoteRef/>
      </w:r>
      <w:r>
        <w:t xml:space="preserve"> </w:t>
      </w:r>
      <w:r w:rsidRPr="003E0AA8">
        <w:rPr>
          <w:rFonts w:ascii="Times New Roman" w:hAnsi="Times New Roman" w:cs="Times New Roman"/>
        </w:rPr>
        <w:t>TAR Piemonte, sez. II, sent. 18 luglio 2018, n. 890.</w:t>
      </w:r>
    </w:p>
  </w:footnote>
  <w:footnote w:id="14">
    <w:p w:rsidR="00FB621D" w:rsidRPr="003E0AA8" w:rsidRDefault="00FB621D">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w:t>
      </w:r>
      <w:r w:rsidR="00FB4CA3" w:rsidRPr="003E0AA8">
        <w:rPr>
          <w:rFonts w:ascii="Times New Roman" w:hAnsi="Times New Roman" w:cs="Times New Roman"/>
        </w:rPr>
        <w:t>TAR</w:t>
      </w:r>
      <w:r w:rsidR="00FB4CA3">
        <w:rPr>
          <w:rFonts w:ascii="Times New Roman" w:hAnsi="Times New Roman" w:cs="Times New Roman"/>
        </w:rPr>
        <w:t xml:space="preserve"> Sicilia, </w:t>
      </w:r>
      <w:r w:rsidR="00FB4CA3" w:rsidRPr="003E0AA8">
        <w:rPr>
          <w:rFonts w:ascii="Times New Roman" w:hAnsi="Times New Roman" w:cs="Times New Roman"/>
        </w:rPr>
        <w:t xml:space="preserve">Catania, </w:t>
      </w:r>
      <w:r w:rsidR="00FB4CA3">
        <w:rPr>
          <w:rFonts w:ascii="Times New Roman" w:hAnsi="Times New Roman" w:cs="Times New Roman"/>
        </w:rPr>
        <w:t xml:space="preserve">sez. I, sent. 12 ottobre 2010, </w:t>
      </w:r>
      <w:r w:rsidR="00FB4CA3" w:rsidRPr="003E0AA8">
        <w:rPr>
          <w:rFonts w:ascii="Times New Roman" w:hAnsi="Times New Roman" w:cs="Times New Roman"/>
        </w:rPr>
        <w:t>n. 4113</w:t>
      </w:r>
      <w:r w:rsidR="00FB4CA3">
        <w:rPr>
          <w:rFonts w:ascii="Times New Roman" w:hAnsi="Times New Roman" w:cs="Times New Roman"/>
        </w:rPr>
        <w:t>.</w:t>
      </w:r>
    </w:p>
  </w:footnote>
  <w:footnote w:id="15">
    <w:p w:rsidR="00FB621D" w:rsidRPr="003E0AA8" w:rsidRDefault="00FB621D">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T</w:t>
      </w:r>
      <w:r w:rsidR="003B6F02" w:rsidRPr="003E0AA8">
        <w:rPr>
          <w:rFonts w:ascii="Times New Roman" w:hAnsi="Times New Roman" w:cs="Times New Roman"/>
        </w:rPr>
        <w:t>AR</w:t>
      </w:r>
      <w:r w:rsidRPr="003E0AA8">
        <w:rPr>
          <w:rFonts w:ascii="Times New Roman" w:hAnsi="Times New Roman" w:cs="Times New Roman"/>
        </w:rPr>
        <w:t xml:space="preserve"> Puglia</w:t>
      </w:r>
      <w:r w:rsidR="003B6F02">
        <w:rPr>
          <w:rFonts w:ascii="Times New Roman" w:hAnsi="Times New Roman" w:cs="Times New Roman"/>
        </w:rPr>
        <w:t>,</w:t>
      </w:r>
      <w:r w:rsidRPr="003E0AA8">
        <w:rPr>
          <w:rFonts w:ascii="Times New Roman" w:hAnsi="Times New Roman" w:cs="Times New Roman"/>
        </w:rPr>
        <w:t xml:space="preserve"> Lecce, </w:t>
      </w:r>
      <w:r w:rsidR="003B6F02">
        <w:rPr>
          <w:rFonts w:ascii="Times New Roman" w:hAnsi="Times New Roman" w:cs="Times New Roman"/>
        </w:rPr>
        <w:t xml:space="preserve">sez. III, sent. 7 maggio 2012, </w:t>
      </w:r>
      <w:r w:rsidRPr="003E0AA8">
        <w:rPr>
          <w:rFonts w:ascii="Times New Roman" w:hAnsi="Times New Roman" w:cs="Times New Roman"/>
        </w:rPr>
        <w:t>n. 776</w:t>
      </w:r>
      <w:r w:rsidR="003B6F02">
        <w:rPr>
          <w:rFonts w:ascii="Times New Roman" w:hAnsi="Times New Roman" w:cs="Times New Roman"/>
        </w:rPr>
        <w:t>.</w:t>
      </w:r>
    </w:p>
  </w:footnote>
  <w:footnote w:id="16">
    <w:p w:rsidR="00FB621D" w:rsidRPr="003E0AA8" w:rsidRDefault="00FB621D">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Consiglio di Stato, sez. </w:t>
      </w:r>
      <w:proofErr w:type="spellStart"/>
      <w:r w:rsidRPr="003E0AA8">
        <w:rPr>
          <w:rFonts w:ascii="Times New Roman" w:hAnsi="Times New Roman" w:cs="Times New Roman"/>
        </w:rPr>
        <w:t>VI</w:t>
      </w:r>
      <w:proofErr w:type="spellEnd"/>
      <w:r w:rsidRPr="003E0AA8">
        <w:rPr>
          <w:rFonts w:ascii="Times New Roman" w:hAnsi="Times New Roman" w:cs="Times New Roman"/>
        </w:rPr>
        <w:t>, sent. 14 aprile 2016, n. 1515.</w:t>
      </w:r>
    </w:p>
  </w:footnote>
  <w:footnote w:id="17">
    <w:p w:rsidR="003E0AA8" w:rsidRPr="003E0AA8" w:rsidRDefault="003E0AA8">
      <w:pPr>
        <w:pStyle w:val="Testonotaapidipagina"/>
        <w:rPr>
          <w:rFonts w:ascii="Times New Roman" w:hAnsi="Times New Roman" w:cs="Times New Roman"/>
        </w:rPr>
      </w:pPr>
      <w:r w:rsidRPr="003E0AA8">
        <w:rPr>
          <w:rStyle w:val="Rimandonotaapidipagina"/>
          <w:rFonts w:ascii="Times New Roman" w:hAnsi="Times New Roman" w:cs="Times New Roman"/>
        </w:rPr>
        <w:footnoteRef/>
      </w:r>
      <w:r w:rsidRPr="003E0AA8">
        <w:rPr>
          <w:rFonts w:ascii="Times New Roman" w:hAnsi="Times New Roman" w:cs="Times New Roman"/>
        </w:rPr>
        <w:t xml:space="preserve"> </w:t>
      </w:r>
      <w:r w:rsidR="00AD35D2">
        <w:rPr>
          <w:rFonts w:ascii="Times New Roman" w:hAnsi="Times New Roman" w:cs="Times New Roman"/>
        </w:rPr>
        <w:t>TAR Sicilia, Catania, sent. n.</w:t>
      </w:r>
      <w:r w:rsidR="003B6F02">
        <w:rPr>
          <w:rFonts w:ascii="Times New Roman" w:hAnsi="Times New Roman" w:cs="Times New Roman"/>
        </w:rPr>
        <w:t xml:space="preserve"> 189/2005</w:t>
      </w:r>
      <w:r w:rsidRPr="003E0AA8">
        <w:rPr>
          <w:rFonts w:ascii="Times New Roman" w:hAnsi="Times New Roman" w:cs="Times New Roman"/>
        </w:rPr>
        <w:t>.</w:t>
      </w:r>
    </w:p>
  </w:footnote>
  <w:footnote w:id="18">
    <w:p w:rsidR="00803AA0" w:rsidRPr="002263C7" w:rsidRDefault="00803AA0">
      <w:pPr>
        <w:pStyle w:val="Testonotaapidipagina"/>
        <w:rPr>
          <w:rFonts w:ascii="Times New Roman" w:hAnsi="Times New Roman" w:cs="Times New Roman"/>
          <w:lang w:val="en-US"/>
        </w:rPr>
      </w:pPr>
      <w:r w:rsidRPr="00803AA0">
        <w:rPr>
          <w:rStyle w:val="Rimandonotaapidipagina"/>
          <w:rFonts w:ascii="Times New Roman" w:hAnsi="Times New Roman" w:cs="Times New Roman"/>
        </w:rPr>
        <w:footnoteRef/>
      </w:r>
      <w:r w:rsidRPr="002263C7">
        <w:rPr>
          <w:rFonts w:ascii="Times New Roman" w:hAnsi="Times New Roman" w:cs="Times New Roman"/>
          <w:lang w:val="en-US"/>
        </w:rPr>
        <w:t xml:space="preserve"> Sez. III pen., sent. n. 26714/2015.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06F0"/>
    <w:multiLevelType w:val="hybridMultilevel"/>
    <w:tmpl w:val="D0643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DE5FF5"/>
    <w:multiLevelType w:val="hybridMultilevel"/>
    <w:tmpl w:val="85A47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82D2A"/>
    <w:rsid w:val="00012F21"/>
    <w:rsid w:val="00060ACC"/>
    <w:rsid w:val="0014624B"/>
    <w:rsid w:val="001854C6"/>
    <w:rsid w:val="002263C7"/>
    <w:rsid w:val="00300C8A"/>
    <w:rsid w:val="00301478"/>
    <w:rsid w:val="003B6F02"/>
    <w:rsid w:val="003C78B1"/>
    <w:rsid w:val="003D2176"/>
    <w:rsid w:val="003E0AA8"/>
    <w:rsid w:val="0040597D"/>
    <w:rsid w:val="00437868"/>
    <w:rsid w:val="00533211"/>
    <w:rsid w:val="00534EC0"/>
    <w:rsid w:val="0055497E"/>
    <w:rsid w:val="005F46CE"/>
    <w:rsid w:val="006523BE"/>
    <w:rsid w:val="00682D2A"/>
    <w:rsid w:val="00733FCF"/>
    <w:rsid w:val="00801563"/>
    <w:rsid w:val="00803AA0"/>
    <w:rsid w:val="00852640"/>
    <w:rsid w:val="008B528A"/>
    <w:rsid w:val="00907F69"/>
    <w:rsid w:val="00A671BD"/>
    <w:rsid w:val="00AD35D2"/>
    <w:rsid w:val="00B8461A"/>
    <w:rsid w:val="00CB1C77"/>
    <w:rsid w:val="00D84963"/>
    <w:rsid w:val="00DE310C"/>
    <w:rsid w:val="00F34C6A"/>
    <w:rsid w:val="00F61906"/>
    <w:rsid w:val="00FB4CA3"/>
    <w:rsid w:val="00FB621D"/>
    <w:rsid w:val="00FE7D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C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682D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F34C6A"/>
    <w:pPr>
      <w:spacing w:after="0" w:line="240" w:lineRule="auto"/>
    </w:pPr>
  </w:style>
  <w:style w:type="paragraph" w:styleId="Testonotaapidipagina">
    <w:name w:val="footnote text"/>
    <w:basedOn w:val="Normale"/>
    <w:link w:val="TestonotaapidipaginaCarattere"/>
    <w:uiPriority w:val="99"/>
    <w:semiHidden/>
    <w:unhideWhenUsed/>
    <w:rsid w:val="00DE310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E310C"/>
    <w:rPr>
      <w:sz w:val="20"/>
      <w:szCs w:val="20"/>
    </w:rPr>
  </w:style>
  <w:style w:type="character" w:styleId="Rimandonotaapidipagina">
    <w:name w:val="footnote reference"/>
    <w:basedOn w:val="Carpredefinitoparagrafo"/>
    <w:uiPriority w:val="99"/>
    <w:semiHidden/>
    <w:unhideWhenUsed/>
    <w:rsid w:val="00DE310C"/>
    <w:rPr>
      <w:vertAlign w:val="superscript"/>
    </w:rPr>
  </w:style>
  <w:style w:type="paragraph" w:customStyle="1" w:styleId="Default">
    <w:name w:val="Default"/>
    <w:rsid w:val="00B846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7637055">
      <w:bodyDiv w:val="1"/>
      <w:marLeft w:val="0"/>
      <w:marRight w:val="0"/>
      <w:marTop w:val="0"/>
      <w:marBottom w:val="0"/>
      <w:divBdr>
        <w:top w:val="none" w:sz="0" w:space="0" w:color="auto"/>
        <w:left w:val="none" w:sz="0" w:space="0" w:color="auto"/>
        <w:bottom w:val="none" w:sz="0" w:space="0" w:color="auto"/>
        <w:right w:val="none" w:sz="0" w:space="0" w:color="auto"/>
      </w:divBdr>
      <w:divsChild>
        <w:div w:id="11300812">
          <w:marLeft w:val="0"/>
          <w:marRight w:val="0"/>
          <w:marTop w:val="0"/>
          <w:marBottom w:val="0"/>
          <w:divBdr>
            <w:top w:val="none" w:sz="0" w:space="0" w:color="auto"/>
            <w:left w:val="none" w:sz="0" w:space="0" w:color="auto"/>
            <w:bottom w:val="none" w:sz="0" w:space="0" w:color="auto"/>
            <w:right w:val="none" w:sz="0" w:space="0" w:color="auto"/>
          </w:divBdr>
        </w:div>
        <w:div w:id="2092390389">
          <w:marLeft w:val="0"/>
          <w:marRight w:val="0"/>
          <w:marTop w:val="0"/>
          <w:marBottom w:val="0"/>
          <w:divBdr>
            <w:top w:val="none" w:sz="0" w:space="0" w:color="auto"/>
            <w:left w:val="none" w:sz="0" w:space="0" w:color="auto"/>
            <w:bottom w:val="none" w:sz="0" w:space="0" w:color="auto"/>
            <w:right w:val="none" w:sz="0" w:space="0" w:color="auto"/>
          </w:divBdr>
        </w:div>
        <w:div w:id="105346361">
          <w:marLeft w:val="0"/>
          <w:marRight w:val="0"/>
          <w:marTop w:val="0"/>
          <w:marBottom w:val="0"/>
          <w:divBdr>
            <w:top w:val="none" w:sz="0" w:space="0" w:color="auto"/>
            <w:left w:val="none" w:sz="0" w:space="0" w:color="auto"/>
            <w:bottom w:val="none" w:sz="0" w:space="0" w:color="auto"/>
            <w:right w:val="none" w:sz="0" w:space="0" w:color="auto"/>
          </w:divBdr>
        </w:div>
        <w:div w:id="640036413">
          <w:marLeft w:val="0"/>
          <w:marRight w:val="0"/>
          <w:marTop w:val="0"/>
          <w:marBottom w:val="0"/>
          <w:divBdr>
            <w:top w:val="none" w:sz="0" w:space="0" w:color="auto"/>
            <w:left w:val="none" w:sz="0" w:space="0" w:color="auto"/>
            <w:bottom w:val="none" w:sz="0" w:space="0" w:color="auto"/>
            <w:right w:val="none" w:sz="0" w:space="0" w:color="auto"/>
          </w:divBdr>
        </w:div>
        <w:div w:id="2124958081">
          <w:marLeft w:val="0"/>
          <w:marRight w:val="0"/>
          <w:marTop w:val="0"/>
          <w:marBottom w:val="0"/>
          <w:divBdr>
            <w:top w:val="none" w:sz="0" w:space="0" w:color="auto"/>
            <w:left w:val="none" w:sz="0" w:space="0" w:color="auto"/>
            <w:bottom w:val="none" w:sz="0" w:space="0" w:color="auto"/>
            <w:right w:val="none" w:sz="0" w:space="0" w:color="auto"/>
          </w:divBdr>
        </w:div>
        <w:div w:id="1869875820">
          <w:marLeft w:val="0"/>
          <w:marRight w:val="0"/>
          <w:marTop w:val="0"/>
          <w:marBottom w:val="0"/>
          <w:divBdr>
            <w:top w:val="none" w:sz="0" w:space="0" w:color="auto"/>
            <w:left w:val="none" w:sz="0" w:space="0" w:color="auto"/>
            <w:bottom w:val="none" w:sz="0" w:space="0" w:color="auto"/>
            <w:right w:val="none" w:sz="0" w:space="0" w:color="auto"/>
          </w:divBdr>
        </w:div>
        <w:div w:id="1774545319">
          <w:marLeft w:val="0"/>
          <w:marRight w:val="0"/>
          <w:marTop w:val="0"/>
          <w:marBottom w:val="0"/>
          <w:divBdr>
            <w:top w:val="none" w:sz="0" w:space="0" w:color="auto"/>
            <w:left w:val="none" w:sz="0" w:space="0" w:color="auto"/>
            <w:bottom w:val="none" w:sz="0" w:space="0" w:color="auto"/>
            <w:right w:val="none" w:sz="0" w:space="0" w:color="auto"/>
          </w:divBdr>
        </w:div>
        <w:div w:id="1207377542">
          <w:marLeft w:val="0"/>
          <w:marRight w:val="0"/>
          <w:marTop w:val="0"/>
          <w:marBottom w:val="0"/>
          <w:divBdr>
            <w:top w:val="none" w:sz="0" w:space="0" w:color="auto"/>
            <w:left w:val="none" w:sz="0" w:space="0" w:color="auto"/>
            <w:bottom w:val="none" w:sz="0" w:space="0" w:color="auto"/>
            <w:right w:val="none" w:sz="0" w:space="0" w:color="auto"/>
          </w:divBdr>
        </w:div>
        <w:div w:id="298607808">
          <w:marLeft w:val="0"/>
          <w:marRight w:val="0"/>
          <w:marTop w:val="0"/>
          <w:marBottom w:val="0"/>
          <w:divBdr>
            <w:top w:val="none" w:sz="0" w:space="0" w:color="auto"/>
            <w:left w:val="none" w:sz="0" w:space="0" w:color="auto"/>
            <w:bottom w:val="none" w:sz="0" w:space="0" w:color="auto"/>
            <w:right w:val="none" w:sz="0" w:space="0" w:color="auto"/>
          </w:divBdr>
        </w:div>
        <w:div w:id="1023359073">
          <w:marLeft w:val="0"/>
          <w:marRight w:val="0"/>
          <w:marTop w:val="0"/>
          <w:marBottom w:val="0"/>
          <w:divBdr>
            <w:top w:val="none" w:sz="0" w:space="0" w:color="auto"/>
            <w:left w:val="none" w:sz="0" w:space="0" w:color="auto"/>
            <w:bottom w:val="none" w:sz="0" w:space="0" w:color="auto"/>
            <w:right w:val="none" w:sz="0" w:space="0" w:color="auto"/>
          </w:divBdr>
        </w:div>
        <w:div w:id="2100516713">
          <w:marLeft w:val="0"/>
          <w:marRight w:val="0"/>
          <w:marTop w:val="0"/>
          <w:marBottom w:val="0"/>
          <w:divBdr>
            <w:top w:val="none" w:sz="0" w:space="0" w:color="auto"/>
            <w:left w:val="none" w:sz="0" w:space="0" w:color="auto"/>
            <w:bottom w:val="none" w:sz="0" w:space="0" w:color="auto"/>
            <w:right w:val="none" w:sz="0" w:space="0" w:color="auto"/>
          </w:divBdr>
        </w:div>
        <w:div w:id="1818642445">
          <w:marLeft w:val="0"/>
          <w:marRight w:val="0"/>
          <w:marTop w:val="0"/>
          <w:marBottom w:val="0"/>
          <w:divBdr>
            <w:top w:val="none" w:sz="0" w:space="0" w:color="auto"/>
            <w:left w:val="none" w:sz="0" w:space="0" w:color="auto"/>
            <w:bottom w:val="none" w:sz="0" w:space="0" w:color="auto"/>
            <w:right w:val="none" w:sz="0" w:space="0" w:color="auto"/>
          </w:divBdr>
        </w:div>
        <w:div w:id="1026175227">
          <w:marLeft w:val="0"/>
          <w:marRight w:val="0"/>
          <w:marTop w:val="0"/>
          <w:marBottom w:val="0"/>
          <w:divBdr>
            <w:top w:val="none" w:sz="0" w:space="0" w:color="auto"/>
            <w:left w:val="none" w:sz="0" w:space="0" w:color="auto"/>
            <w:bottom w:val="none" w:sz="0" w:space="0" w:color="auto"/>
            <w:right w:val="none" w:sz="0" w:space="0" w:color="auto"/>
          </w:divBdr>
        </w:div>
        <w:div w:id="684553163">
          <w:marLeft w:val="0"/>
          <w:marRight w:val="0"/>
          <w:marTop w:val="0"/>
          <w:marBottom w:val="0"/>
          <w:divBdr>
            <w:top w:val="none" w:sz="0" w:space="0" w:color="auto"/>
            <w:left w:val="none" w:sz="0" w:space="0" w:color="auto"/>
            <w:bottom w:val="none" w:sz="0" w:space="0" w:color="auto"/>
            <w:right w:val="none" w:sz="0" w:space="0" w:color="auto"/>
          </w:divBdr>
        </w:div>
        <w:div w:id="1628002353">
          <w:marLeft w:val="0"/>
          <w:marRight w:val="0"/>
          <w:marTop w:val="0"/>
          <w:marBottom w:val="0"/>
          <w:divBdr>
            <w:top w:val="none" w:sz="0" w:space="0" w:color="auto"/>
            <w:left w:val="none" w:sz="0" w:space="0" w:color="auto"/>
            <w:bottom w:val="none" w:sz="0" w:space="0" w:color="auto"/>
            <w:right w:val="none" w:sz="0" w:space="0" w:color="auto"/>
          </w:divBdr>
        </w:div>
        <w:div w:id="2009745305">
          <w:marLeft w:val="0"/>
          <w:marRight w:val="0"/>
          <w:marTop w:val="0"/>
          <w:marBottom w:val="0"/>
          <w:divBdr>
            <w:top w:val="none" w:sz="0" w:space="0" w:color="auto"/>
            <w:left w:val="none" w:sz="0" w:space="0" w:color="auto"/>
            <w:bottom w:val="none" w:sz="0" w:space="0" w:color="auto"/>
            <w:right w:val="none" w:sz="0" w:space="0" w:color="auto"/>
          </w:divBdr>
        </w:div>
        <w:div w:id="1566796978">
          <w:marLeft w:val="0"/>
          <w:marRight w:val="0"/>
          <w:marTop w:val="0"/>
          <w:marBottom w:val="0"/>
          <w:divBdr>
            <w:top w:val="none" w:sz="0" w:space="0" w:color="auto"/>
            <w:left w:val="none" w:sz="0" w:space="0" w:color="auto"/>
            <w:bottom w:val="none" w:sz="0" w:space="0" w:color="auto"/>
            <w:right w:val="none" w:sz="0" w:space="0" w:color="auto"/>
          </w:divBdr>
        </w:div>
      </w:divsChild>
    </w:div>
    <w:div w:id="562377121">
      <w:bodyDiv w:val="1"/>
      <w:marLeft w:val="0"/>
      <w:marRight w:val="0"/>
      <w:marTop w:val="0"/>
      <w:marBottom w:val="0"/>
      <w:divBdr>
        <w:top w:val="none" w:sz="0" w:space="0" w:color="auto"/>
        <w:left w:val="none" w:sz="0" w:space="0" w:color="auto"/>
        <w:bottom w:val="none" w:sz="0" w:space="0" w:color="auto"/>
        <w:right w:val="none" w:sz="0" w:space="0" w:color="auto"/>
      </w:divBdr>
    </w:div>
    <w:div w:id="890504479">
      <w:bodyDiv w:val="1"/>
      <w:marLeft w:val="0"/>
      <w:marRight w:val="0"/>
      <w:marTop w:val="0"/>
      <w:marBottom w:val="0"/>
      <w:divBdr>
        <w:top w:val="none" w:sz="0" w:space="0" w:color="auto"/>
        <w:left w:val="none" w:sz="0" w:space="0" w:color="auto"/>
        <w:bottom w:val="none" w:sz="0" w:space="0" w:color="auto"/>
        <w:right w:val="none" w:sz="0" w:space="0" w:color="auto"/>
      </w:divBdr>
    </w:div>
    <w:div w:id="15646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BB2E-39D2-4824-9569-1EFBE288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990</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Loris Pecchia</cp:lastModifiedBy>
  <cp:revision>15</cp:revision>
  <dcterms:created xsi:type="dcterms:W3CDTF">2018-07-21T13:37:00Z</dcterms:created>
  <dcterms:modified xsi:type="dcterms:W3CDTF">2018-07-24T10:51:00Z</dcterms:modified>
</cp:coreProperties>
</file>