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31" w:rsidRDefault="00754A31" w:rsidP="00754A31">
      <w:pPr>
        <w:rPr>
          <w:lang w:eastAsia="it-IT"/>
        </w:rPr>
      </w:pPr>
    </w:p>
    <w:p w:rsidR="00754A31" w:rsidRDefault="00754A31" w:rsidP="00754A31">
      <w:pPr>
        <w:spacing w:after="0" w:line="309" w:lineRule="atLeast"/>
        <w:jc w:val="center"/>
        <w:rPr>
          <w:rFonts w:ascii="Arial" w:eastAsia="Times New Roman" w:hAnsi="Arial" w:cs="Arial"/>
          <w:b/>
          <w:sz w:val="21"/>
          <w:szCs w:val="21"/>
          <w:lang w:eastAsia="it-IT"/>
        </w:rPr>
      </w:pPr>
      <w:proofErr w:type="spellStart"/>
      <w:r w:rsidRPr="00754A31">
        <w:rPr>
          <w:rFonts w:ascii="Arial" w:eastAsia="Times New Roman" w:hAnsi="Arial" w:cs="Arial"/>
          <w:b/>
          <w:sz w:val="21"/>
          <w:szCs w:val="21"/>
          <w:lang w:eastAsia="it-IT"/>
        </w:rPr>
        <w:t>FiscoOggi</w:t>
      </w:r>
      <w:proofErr w:type="spellEnd"/>
    </w:p>
    <w:p w:rsidR="00754A31" w:rsidRPr="00754A31" w:rsidRDefault="00754A31" w:rsidP="00754A31">
      <w:pPr>
        <w:spacing w:after="0" w:line="309" w:lineRule="atLeast"/>
        <w:jc w:val="center"/>
        <w:rPr>
          <w:rFonts w:ascii="Arial" w:eastAsia="Times New Roman" w:hAnsi="Arial" w:cs="Arial"/>
          <w:b/>
          <w:sz w:val="21"/>
          <w:szCs w:val="21"/>
          <w:lang w:eastAsia="it-IT"/>
        </w:rPr>
      </w:pPr>
    </w:p>
    <w:p w:rsidR="00754A31" w:rsidRPr="00754A31" w:rsidRDefault="00754A31" w:rsidP="00754A31">
      <w:pPr>
        <w:spacing w:after="0" w:line="309" w:lineRule="atLeast"/>
        <w:rPr>
          <w:rFonts w:ascii="Arial" w:eastAsia="Times New Roman" w:hAnsi="Arial" w:cs="Arial"/>
          <w:sz w:val="21"/>
          <w:szCs w:val="21"/>
          <w:lang w:eastAsia="it-IT"/>
        </w:rPr>
      </w:pPr>
      <w:r w:rsidRPr="00754A31">
        <w:rPr>
          <w:rFonts w:ascii="Arial" w:eastAsia="Times New Roman" w:hAnsi="Arial" w:cs="Arial"/>
          <w:sz w:val="21"/>
          <w:szCs w:val="21"/>
          <w:lang w:eastAsia="it-IT"/>
        </w:rPr>
        <w:t>Rapporto a tempo determinato: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t>maglie larghe per le detrazioni</w:t>
      </w:r>
    </w:p>
    <w:p w:rsidR="00754A31" w:rsidRPr="00754A31" w:rsidRDefault="00754A31" w:rsidP="00754A31">
      <w:pPr>
        <w:spacing w:after="0" w:line="309" w:lineRule="atLeast"/>
        <w:rPr>
          <w:rFonts w:ascii="Arial" w:eastAsia="Times New Roman" w:hAnsi="Arial" w:cs="Arial"/>
          <w:sz w:val="21"/>
          <w:szCs w:val="21"/>
          <w:lang w:eastAsia="it-IT"/>
        </w:rPr>
      </w:pPr>
      <w:r w:rsidRPr="00754A31">
        <w:rPr>
          <w:rFonts w:ascii="Arial" w:eastAsia="Times New Roman" w:hAnsi="Arial" w:cs="Arial"/>
          <w:sz w:val="21"/>
          <w:szCs w:val="21"/>
          <w:lang w:eastAsia="it-IT"/>
        </w:rPr>
        <w:t>Al punto 11 della Cu deve essere indicato il codice 4 nell’ipotesi in cui non coincidano il numero dei giorni per cui spetta la diminuzione d’imposta e il periodo di lavoro nell’anno</w:t>
      </w:r>
    </w:p>
    <w:p w:rsidR="00754A31" w:rsidRPr="00754A31" w:rsidRDefault="00754A31" w:rsidP="00754A31">
      <w:pPr>
        <w:spacing w:after="0" w:line="309" w:lineRule="atLeast"/>
        <w:rPr>
          <w:rFonts w:ascii="Arial" w:eastAsia="Times New Roman" w:hAnsi="Arial" w:cs="Arial"/>
          <w:sz w:val="21"/>
          <w:szCs w:val="21"/>
          <w:lang w:eastAsia="it-IT"/>
        </w:rPr>
      </w:pPr>
    </w:p>
    <w:p w:rsidR="00754A31" w:rsidRPr="00754A31" w:rsidRDefault="00754A31" w:rsidP="00754A31">
      <w:pPr>
        <w:spacing w:after="0" w:line="309" w:lineRule="atLeast"/>
        <w:rPr>
          <w:rFonts w:ascii="Arial" w:eastAsia="Times New Roman" w:hAnsi="Arial" w:cs="Arial"/>
          <w:sz w:val="21"/>
          <w:szCs w:val="21"/>
          <w:lang w:eastAsia="it-IT"/>
        </w:rPr>
      </w:pPr>
      <w:r w:rsidRPr="00754A31">
        <w:rPr>
          <w:rFonts w:ascii="Arial" w:eastAsia="Times New Roman" w:hAnsi="Arial" w:cs="Arial"/>
          <w:sz w:val="21"/>
          <w:szCs w:val="21"/>
          <w:lang w:eastAsia="it-IT"/>
        </w:rPr>
        <w:t>Nell’ipotesi in cui il rapporto di lavoro a tempo determinato abbia una durata complessiva di dodici mesi ricadenti in due periodi d’imposta, nel secondo anno è possibile calcolare le detrazioni tenendo conto anche del periodo dell’anno precedente per il quale il dipendente, non avendo percepito per intero la retribuzione maturata, non ha potuto beneficiarne.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In tal caso, il sostituto d’imposta dovrà rilasciare la Certificazione unica relativa alla seconda annualità, indicando al punto 11 della sezione “</w:t>
      </w:r>
      <w:r w:rsidRPr="00754A31">
        <w:rPr>
          <w:rFonts w:ascii="Arial" w:eastAsia="Times New Roman" w:hAnsi="Arial" w:cs="Arial"/>
          <w:i/>
          <w:iCs/>
          <w:sz w:val="21"/>
          <w:lang w:eastAsia="it-IT"/>
        </w:rPr>
        <w:t>Dati Fiscali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t>”, il codice 4, e al punto 6 della medesima sezione dedicata al “</w:t>
      </w:r>
      <w:r w:rsidRPr="00754A31">
        <w:rPr>
          <w:rFonts w:ascii="Arial" w:eastAsia="Times New Roman" w:hAnsi="Arial" w:cs="Arial"/>
          <w:i/>
          <w:iCs/>
          <w:sz w:val="21"/>
          <w:lang w:eastAsia="it-IT"/>
        </w:rPr>
        <w:t>Numero di giorni per i quali spettano le detrazioni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t>”, quelli effettivi di lavoro corrispondenti alla retribuzione percepita nel periodo d’imposta.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 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 xml:space="preserve">A precisarlo è l’Agenzia delle entrate con la </w:t>
      </w:r>
      <w:hyperlink r:id="rId4" w:tgtFrame="_blank" w:history="1">
        <w:r w:rsidRPr="00754A31">
          <w:rPr>
            <w:rFonts w:ascii="Arial" w:eastAsia="Times New Roman" w:hAnsi="Arial" w:cs="Arial"/>
            <w:color w:val="0000FF"/>
            <w:sz w:val="21"/>
            <w:u w:val="single"/>
            <w:lang w:eastAsia="it-IT"/>
          </w:rPr>
          <w:t>risoluzione n. 127/E</w:t>
        </w:r>
      </w:hyperlink>
      <w:r w:rsidRPr="00754A31">
        <w:rPr>
          <w:rFonts w:ascii="Arial" w:eastAsia="Times New Roman" w:hAnsi="Arial" w:cs="Arial"/>
          <w:sz w:val="21"/>
          <w:szCs w:val="21"/>
          <w:lang w:eastAsia="it-IT"/>
        </w:rPr>
        <w:t xml:space="preserve"> del 18 ottobre 2017. A sollecitare il chiarimento è stato un contribuente che ha svolto il servizio civile dal 3 novembre 2015 al 2 novembre 2016, per un totale di dodici mesi. Con riferimento a tale rapporto di lavoro, il Dipartimento della gioventù e del servizio civile nazionale ha rilasciato all’interessato due modelli Cu, uno relativo al 2015 e l’altro al 2016.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 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Il dubbio sollevato dall’istante nasce dal fatto che il Dipartimento eroga i compensi alla fine del mese successivo a quello di riferimento e, quindi, nel caso prospettato, la Certificazione unica relativa al 2016, inglobava anche lo stipendio del mese di dicembre 2015.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In tal modo, è venuta a mancare la coincidenza tra le mensilità corrisposte e i giorni di lavoro effettuati nel periodo d’imposta, circostanza determinante ai fini del calcolo delle detrazioni spettanti, in quell’anno, per i redditi di lavoro dipendente e/o assimilati prodotti.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 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La risoluzione ricorda che i compensi percepiti dai volontari del servizio civile sono configurabili come redditi di collaborazione coordinati e continuativa e, quindi, assimilati a quelli di lavoro dipendente (</w:t>
      </w:r>
      <w:r w:rsidRPr="00754A31">
        <w:rPr>
          <w:rFonts w:ascii="Arial" w:eastAsia="Times New Roman" w:hAnsi="Arial" w:cs="Arial"/>
          <w:i/>
          <w:iCs/>
          <w:sz w:val="21"/>
          <w:lang w:eastAsia="it-IT"/>
        </w:rPr>
        <w:t>cfr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hyperlink r:id="rId5" w:tgtFrame="_blank" w:history="1">
        <w:r w:rsidRPr="00754A31">
          <w:rPr>
            <w:rFonts w:ascii="Arial" w:eastAsia="Times New Roman" w:hAnsi="Arial" w:cs="Arial"/>
            <w:color w:val="0000FF"/>
            <w:sz w:val="21"/>
            <w:u w:val="single"/>
            <w:lang w:eastAsia="it-IT"/>
          </w:rPr>
          <w:t>circolare n. 24/E</w:t>
        </w:r>
      </w:hyperlink>
      <w:r w:rsidRPr="00754A31">
        <w:rPr>
          <w:rFonts w:ascii="Arial" w:eastAsia="Times New Roman" w:hAnsi="Arial" w:cs="Arial"/>
          <w:sz w:val="21"/>
          <w:szCs w:val="21"/>
          <w:lang w:eastAsia="it-IT"/>
        </w:rPr>
        <w:t xml:space="preserve"> del 10 giugno 2004, paragrafo 4.2).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Di conseguenza, il sostituto deve operare le ritenute d’imposta in base a quanto previsto dall’</w:t>
      </w:r>
      <w:hyperlink r:id="rId6" w:tgtFrame="_blank" w:history="1">
        <w:r w:rsidRPr="00754A31">
          <w:rPr>
            <w:rFonts w:ascii="Arial" w:eastAsia="Times New Roman" w:hAnsi="Arial" w:cs="Arial"/>
            <w:color w:val="0000FF"/>
            <w:sz w:val="21"/>
            <w:u w:val="single"/>
            <w:lang w:eastAsia="it-IT"/>
          </w:rPr>
          <w:t>articolo 24</w:t>
        </w:r>
      </w:hyperlink>
      <w:r w:rsidRPr="00754A31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proofErr w:type="spellStart"/>
      <w:r w:rsidRPr="00754A31">
        <w:rPr>
          <w:rFonts w:ascii="Arial" w:eastAsia="Times New Roman" w:hAnsi="Arial" w:cs="Arial"/>
          <w:sz w:val="21"/>
          <w:szCs w:val="21"/>
          <w:lang w:eastAsia="it-IT"/>
        </w:rPr>
        <w:t>Dpr</w:t>
      </w:r>
      <w:proofErr w:type="spellEnd"/>
      <w:r w:rsidRPr="00754A31">
        <w:rPr>
          <w:rFonts w:ascii="Arial" w:eastAsia="Times New Roman" w:hAnsi="Arial" w:cs="Arial"/>
          <w:sz w:val="21"/>
          <w:szCs w:val="21"/>
          <w:lang w:eastAsia="it-IT"/>
        </w:rPr>
        <w:t xml:space="preserve"> 600/1973 e cioè “</w:t>
      </w:r>
      <w:r w:rsidRPr="00754A31">
        <w:rPr>
          <w:rFonts w:ascii="Arial" w:eastAsia="Times New Roman" w:hAnsi="Arial" w:cs="Arial"/>
          <w:i/>
          <w:iCs/>
          <w:sz w:val="21"/>
          <w:lang w:eastAsia="it-IT"/>
        </w:rPr>
        <w:t xml:space="preserve">sulla parte imponibile delle somme e dei valori (...) corrisposti in ciascun periodo di paga, con le aliquote dell'imposta sul reddito delle persone fisiche, ragguagliando al periodo di paga i corrispondenti scaglioni annui di reddito ed effettuando le detrazioni previste negli articoli 12 e 13 del </w:t>
      </w:r>
      <w:proofErr w:type="spellStart"/>
      <w:r w:rsidRPr="00754A31">
        <w:rPr>
          <w:rFonts w:ascii="Arial" w:eastAsia="Times New Roman" w:hAnsi="Arial" w:cs="Arial"/>
          <w:sz w:val="21"/>
          <w:szCs w:val="21"/>
          <w:lang w:eastAsia="it-IT"/>
        </w:rPr>
        <w:t>Tuir</w:t>
      </w:r>
      <w:proofErr w:type="spellEnd"/>
      <w:r w:rsidRPr="00754A31">
        <w:rPr>
          <w:rFonts w:ascii="Arial" w:eastAsia="Times New Roman" w:hAnsi="Arial" w:cs="Arial"/>
          <w:i/>
          <w:iCs/>
          <w:sz w:val="21"/>
          <w:lang w:eastAsia="it-IT"/>
        </w:rPr>
        <w:t>, rapportate al periodo stesso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t>”.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 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Nel caso esaminato, dal punto 6 della Cu 2017 risultava che il contribuente aveva svolto il servizio civile, nel 2016, per 307 giorni (dal 1° gennaio al 2 novembre 2016) e non per i 337 corrispondenti alla retribuzioni complessiva percepita nel periodo d’imposta (che considerava anche il cedolino di dicembre 2017) pari a 4.880,72 euro.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Nella stessa Certificazione unica, inoltre, il sostituto precisava, con il codice “ZZ”, nelle “Altre annotazioni obbligatorie”, che “</w:t>
      </w:r>
      <w:r w:rsidRPr="00754A31">
        <w:rPr>
          <w:rFonts w:ascii="Arial" w:eastAsia="Times New Roman" w:hAnsi="Arial" w:cs="Arial"/>
          <w:i/>
          <w:iCs/>
          <w:sz w:val="21"/>
          <w:lang w:eastAsia="it-IT"/>
        </w:rPr>
        <w:t xml:space="preserve">il numero dei giorni indicati nel campo 6 dei Dati Fiscali corrisponde al periodo effettivamente lavorato e non a quello retribuito da cedolino. Tale problematica nasce dal fatto </w:t>
      </w:r>
      <w:r w:rsidRPr="00754A31">
        <w:rPr>
          <w:rFonts w:ascii="Arial" w:eastAsia="Times New Roman" w:hAnsi="Arial" w:cs="Arial"/>
          <w:i/>
          <w:iCs/>
          <w:sz w:val="21"/>
          <w:lang w:eastAsia="it-IT"/>
        </w:rPr>
        <w:lastRenderedPageBreak/>
        <w:t>che l'Agenzia delle Entrate non contempla la casistica per cui il nostro Ente paga sempre il mese successivo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t>”.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 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A fronte di tale circostanza, il contribuente chiede all’Agenzia di poter rapportare l’importo complessivo corrisposto nel 2016 (4.880,72 euro) al periodo effettivo di lavoro a cui questo si riferisce e, cioè, a 337 giorni così da beneficiare delle corrette detrazioni. L’Agenzia condivide la soluzione prospettata dall’istante.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 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Per quanto riguarda le detrazioni, la norma di riferimento, e cioè l’</w:t>
      </w:r>
      <w:hyperlink r:id="rId7" w:tgtFrame="_blank" w:history="1">
        <w:r w:rsidRPr="00754A31">
          <w:rPr>
            <w:rFonts w:ascii="Arial" w:eastAsia="Times New Roman" w:hAnsi="Arial" w:cs="Arial"/>
            <w:color w:val="0000FF"/>
            <w:sz w:val="21"/>
            <w:u w:val="single"/>
            <w:lang w:eastAsia="it-IT"/>
          </w:rPr>
          <w:t>articolo 13</w:t>
        </w:r>
      </w:hyperlink>
      <w:r w:rsidRPr="00754A31">
        <w:rPr>
          <w:rFonts w:ascii="Arial" w:eastAsia="Times New Roman" w:hAnsi="Arial" w:cs="Arial"/>
          <w:sz w:val="21"/>
          <w:szCs w:val="21"/>
          <w:lang w:eastAsia="it-IT"/>
        </w:rPr>
        <w:t xml:space="preserve">, comma 1, </w:t>
      </w:r>
      <w:proofErr w:type="spellStart"/>
      <w:r w:rsidRPr="00754A31">
        <w:rPr>
          <w:rFonts w:ascii="Arial" w:eastAsia="Times New Roman" w:hAnsi="Arial" w:cs="Arial"/>
          <w:sz w:val="21"/>
          <w:szCs w:val="21"/>
          <w:lang w:eastAsia="it-IT"/>
        </w:rPr>
        <w:t>Tuir</w:t>
      </w:r>
      <w:proofErr w:type="spellEnd"/>
      <w:r w:rsidRPr="00754A31">
        <w:rPr>
          <w:rFonts w:ascii="Arial" w:eastAsia="Times New Roman" w:hAnsi="Arial" w:cs="Arial"/>
          <w:sz w:val="21"/>
          <w:szCs w:val="21"/>
          <w:lang w:eastAsia="it-IT"/>
        </w:rPr>
        <w:t>, prevede che spettino, in linea generale, in base al periodo di lavoro prestato nell’anno, anche per evitare che nell’anno successivo venga superato il numero massimo di 365 giorni per i quali è possibile fruirne.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Considerata la particolarità della vicenda oggetto della richiesta di chiarimenti, l’Agenzia afferma che, trattandosi di un rapporto di lavoro a tempo determinato della durata complessiva di dodici mesi a cavallo tra due periodi d’imposta, nel secondo anno è possibile calcolare le detrazioni incorporando anche la mensilità maturata ma non percepita nell’anno precedente e per la quale, quindi, il volontario non ha potuto beneficiare della detrazione.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>Per il riconoscimento delle detrazioni relative a dicembre 2015, quindi, il sostituto d’imposta, come anticipato, deve indicare al punto 11 della sezione “</w:t>
      </w:r>
      <w:r w:rsidRPr="00754A31">
        <w:rPr>
          <w:rFonts w:ascii="Arial" w:eastAsia="Times New Roman" w:hAnsi="Arial" w:cs="Arial"/>
          <w:i/>
          <w:iCs/>
          <w:sz w:val="21"/>
          <w:lang w:eastAsia="it-IT"/>
        </w:rPr>
        <w:t>Dati Fiscali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t>” della Cu 2017, relativa all’anno d’imposta 2016, il codice 4, che va utilizzato nei casi in cui i giorni per i quali si ha diritto alla detrazione non corrispondano al periodo di lavoro prestato nell’anno di riferimento.</w:t>
      </w:r>
      <w:r w:rsidRPr="00754A31">
        <w:rPr>
          <w:rFonts w:ascii="Arial" w:eastAsia="Times New Roman" w:hAnsi="Arial" w:cs="Arial"/>
          <w:sz w:val="21"/>
          <w:szCs w:val="21"/>
          <w:lang w:eastAsia="it-IT"/>
        </w:rPr>
        <w:br/>
        <w:t xml:space="preserve">Chiarito ciò, il contribuente deve chiedere al sostituto d’imposta una nuova Cu nella quale dovranno essere indicati 337 giorni di diritto alla detrazione, e potrà recuperare la somma con la prima Cu. </w:t>
      </w:r>
    </w:p>
    <w:p w:rsidR="00754A31" w:rsidRPr="00754A31" w:rsidRDefault="00754A31" w:rsidP="00754A31">
      <w:pPr>
        <w:spacing w:after="0" w:line="309" w:lineRule="atLeast"/>
        <w:rPr>
          <w:rFonts w:ascii="Arial" w:eastAsia="Times New Roman" w:hAnsi="Arial" w:cs="Arial"/>
          <w:sz w:val="21"/>
          <w:szCs w:val="21"/>
          <w:lang w:eastAsia="it-IT"/>
        </w:rPr>
      </w:pPr>
      <w:proofErr w:type="spellStart"/>
      <w:r w:rsidRPr="00754A31">
        <w:rPr>
          <w:rFonts w:ascii="Arial" w:eastAsia="Times New Roman" w:hAnsi="Arial" w:cs="Arial"/>
          <w:sz w:val="21"/>
          <w:szCs w:val="21"/>
          <w:lang w:eastAsia="it-IT"/>
        </w:rPr>
        <w:t>r.fo.</w:t>
      </w:r>
      <w:proofErr w:type="spellEnd"/>
    </w:p>
    <w:p w:rsidR="00754A31" w:rsidRPr="00754A31" w:rsidRDefault="00754A31" w:rsidP="00754A31">
      <w:pPr>
        <w:spacing w:after="0" w:line="309" w:lineRule="atLeast"/>
        <w:rPr>
          <w:rFonts w:ascii="Arial" w:eastAsia="Times New Roman" w:hAnsi="Arial" w:cs="Arial"/>
          <w:sz w:val="21"/>
          <w:szCs w:val="21"/>
          <w:lang w:eastAsia="it-IT"/>
        </w:rPr>
      </w:pPr>
      <w:r w:rsidRPr="00754A31">
        <w:rPr>
          <w:rFonts w:ascii="Arial" w:eastAsia="Times New Roman" w:hAnsi="Arial" w:cs="Arial"/>
          <w:sz w:val="21"/>
          <w:szCs w:val="21"/>
          <w:lang w:eastAsia="it-IT"/>
        </w:rPr>
        <w:t xml:space="preserve">pubblicato </w:t>
      </w:r>
      <w:r w:rsidRPr="00754A31">
        <w:rPr>
          <w:rFonts w:ascii="Arial" w:eastAsia="Times New Roman" w:hAnsi="Arial" w:cs="Arial"/>
          <w:sz w:val="21"/>
          <w:lang w:eastAsia="it-IT"/>
        </w:rPr>
        <w:t>Mercoledì 18 Ottobre 2017</w:t>
      </w:r>
    </w:p>
    <w:p w:rsidR="00B2657D" w:rsidRPr="00754A31" w:rsidRDefault="00B2657D" w:rsidP="00754A31"/>
    <w:sectPr w:rsidR="00B2657D" w:rsidRPr="00754A31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4A31"/>
    <w:rsid w:val="00754A31"/>
    <w:rsid w:val="007E69A8"/>
    <w:rsid w:val="00B2657D"/>
    <w:rsid w:val="00CE1161"/>
    <w:rsid w:val="00F8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4A31"/>
    <w:rPr>
      <w:color w:val="0000FF"/>
      <w:u w:val="single"/>
    </w:rPr>
  </w:style>
  <w:style w:type="character" w:customStyle="1" w:styleId="date-display-single">
    <w:name w:val="date-display-single"/>
    <w:basedOn w:val="Carpredefinitoparagrafo"/>
    <w:rsid w:val="00754A31"/>
  </w:style>
  <w:style w:type="character" w:styleId="Enfasicorsivo">
    <w:name w:val="Emphasis"/>
    <w:basedOn w:val="Carpredefinitoparagrafo"/>
    <w:uiPriority w:val="20"/>
    <w:qFormat/>
    <w:rsid w:val="00754A3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7729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13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1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90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4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34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7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49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f.finanze.it/DocTribFrontend/getAttoNormativoDetail.do?ACTION=getArticolo&amp;id=%7b31D694E8-4398-4030-873B-FEAF5A6647F9%7d&amp;codiceOrdinamento=200001300000000&amp;articolo=Articolo%2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.finanze.it/DocTribFrontend/getAttoNormativoDetail.do?ACTION=getArticolo&amp;id=%7b178F0CBC-1969-49F3-974E-7C0E87B9A568%7d&amp;codiceOrdinamento=200002400000000&amp;articolo=Articolo%2024" TargetMode="External"/><Relationship Id="rId5" Type="http://schemas.openxmlformats.org/officeDocument/2006/relationships/hyperlink" Target="http://def.finanze.it/DocTribFrontend/getPrassiDetail.do?id=%7bD3C7C937-A09D-40ED-8256-11C66540794B%7d" TargetMode="External"/><Relationship Id="rId4" Type="http://schemas.openxmlformats.org/officeDocument/2006/relationships/hyperlink" Target="http://def.finanze.it/DocTribFrontend/getPrassiDetail.do?id=%7b0E31A5C6-9537-4F61-8BDC-E6E8AA46572C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2017-10-18T15:49:00Z</dcterms:created>
  <dcterms:modified xsi:type="dcterms:W3CDTF">2017-10-18T15:49:00Z</dcterms:modified>
</cp:coreProperties>
</file>