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9668"/>
      </w:tblGrid>
      <w:tr w:rsidR="003E3798" w:rsidRPr="003E3798" w:rsidTr="003E3798">
        <w:tc>
          <w:tcPr>
            <w:tcW w:w="0" w:type="auto"/>
            <w:hideMark/>
          </w:tcPr>
          <w:p w:rsidR="003E3798" w:rsidRPr="003E3798" w:rsidRDefault="003E3798" w:rsidP="003E3798">
            <w:pPr>
              <w:spacing w:before="100" w:beforeAutospacing="1" w:after="100" w:afterAutospacing="1" w:line="240" w:lineRule="auto"/>
              <w:jc w:val="center"/>
              <w:outlineLvl w:val="1"/>
              <w:rPr>
                <w:rFonts w:ascii="Verdana" w:eastAsia="Times New Roman" w:hAnsi="Verdana" w:cs="Times New Roman"/>
                <w:b/>
                <w:bCs/>
                <w:sz w:val="36"/>
                <w:szCs w:val="36"/>
                <w:lang w:eastAsia="it-IT"/>
              </w:rPr>
            </w:pPr>
            <w:r w:rsidRPr="003E3798">
              <w:rPr>
                <w:rFonts w:ascii="Times New Roman" w:eastAsia="Times New Roman" w:hAnsi="Times New Roman" w:cs="Times New Roman"/>
                <w:b/>
                <w:bCs/>
                <w:color w:val="808080"/>
                <w:sz w:val="36"/>
                <w:szCs w:val="36"/>
                <w:lang w:eastAsia="it-IT"/>
              </w:rPr>
              <w:t>Istituto Nazionale della Previdenza Sociale</w:t>
            </w:r>
            <w:r w:rsidRPr="003E3798">
              <w:rPr>
                <w:rFonts w:ascii="Verdana" w:eastAsia="Times New Roman" w:hAnsi="Verdana" w:cs="Times New Roman"/>
                <w:b/>
                <w:bCs/>
                <w:sz w:val="36"/>
                <w:szCs w:val="36"/>
                <w:lang w:eastAsia="it-IT"/>
              </w:rPr>
              <w:t xml:space="preserve"> </w:t>
            </w:r>
          </w:p>
        </w:tc>
      </w:tr>
      <w:tr w:rsidR="003E3798" w:rsidRPr="003E3798" w:rsidTr="003E3798">
        <w:tc>
          <w:tcPr>
            <w:tcW w:w="0" w:type="auto"/>
            <w:hideMark/>
          </w:tcPr>
          <w:p w:rsidR="003E3798" w:rsidRPr="003E3798" w:rsidRDefault="003E3798" w:rsidP="003E3798">
            <w:pPr>
              <w:spacing w:line="240" w:lineRule="auto"/>
              <w:rPr>
                <w:rFonts w:ascii="Verdana" w:eastAsia="Times New Roman" w:hAnsi="Verdana" w:cs="Times New Roman"/>
                <w:sz w:val="24"/>
                <w:szCs w:val="24"/>
                <w:lang w:eastAsia="it-IT"/>
              </w:rPr>
            </w:pPr>
            <w:r w:rsidRPr="003E3798">
              <w:rPr>
                <w:rFonts w:ascii="Verdana" w:eastAsia="Times New Roman" w:hAnsi="Verdana" w:cs="Times New Roman"/>
                <w:i/>
                <w:iCs/>
                <w:lang w:eastAsia="it-IT"/>
              </w:rPr>
              <w:t xml:space="preserve">Direzione Centrale Entrate e Recupero Crediti </w:t>
            </w:r>
            <w:r w:rsidRPr="003E3798">
              <w:rPr>
                <w:rFonts w:ascii="Verdana" w:eastAsia="Times New Roman" w:hAnsi="Verdana" w:cs="Times New Roman"/>
                <w:i/>
                <w:iCs/>
                <w:lang w:eastAsia="it-IT"/>
              </w:rPr>
              <w:br/>
              <w:t xml:space="preserve">Direzione Centrale Organizzazione e Sistemi Informativi </w:t>
            </w:r>
            <w:r w:rsidRPr="003E3798">
              <w:rPr>
                <w:rFonts w:ascii="Verdana" w:eastAsia="Times New Roman" w:hAnsi="Verdana" w:cs="Times New Roman"/>
                <w:i/>
                <w:iCs/>
                <w:lang w:eastAsia="it-IT"/>
              </w:rPr>
              <w:br/>
              <w:t xml:space="preserve">Direzione Centrale Relazioni Esterne </w:t>
            </w:r>
          </w:p>
          <w:tbl>
            <w:tblPr>
              <w:tblW w:w="5000" w:type="pct"/>
              <w:tblCellMar>
                <w:left w:w="0" w:type="dxa"/>
                <w:right w:w="0" w:type="dxa"/>
              </w:tblCellMar>
              <w:tblLook w:val="04A0"/>
            </w:tblPr>
            <w:tblGrid>
              <w:gridCol w:w="4819"/>
              <w:gridCol w:w="4819"/>
            </w:tblGrid>
            <w:tr w:rsidR="003E3798" w:rsidRPr="003E3798" w:rsidTr="003E3798">
              <w:tc>
                <w:tcPr>
                  <w:tcW w:w="2500" w:type="pct"/>
                  <w:hideMark/>
                </w:tcPr>
                <w:p w:rsidR="003E3798" w:rsidRPr="003E3798" w:rsidRDefault="003E3798" w:rsidP="003E3798">
                  <w:pPr>
                    <w:spacing w:after="0" w:line="240" w:lineRule="auto"/>
                    <w:rPr>
                      <w:rFonts w:ascii="Verdana" w:eastAsia="Times New Roman" w:hAnsi="Verdana" w:cs="Times New Roman"/>
                      <w:b/>
                      <w:bCs/>
                      <w:lang w:eastAsia="it-IT"/>
                    </w:rPr>
                  </w:pPr>
                  <w:r w:rsidRPr="003E3798">
                    <w:rPr>
                      <w:rFonts w:ascii="Verdana" w:eastAsia="Times New Roman" w:hAnsi="Verdana" w:cs="Times New Roman"/>
                      <w:b/>
                      <w:bCs/>
                      <w:lang w:eastAsia="it-IT"/>
                    </w:rPr>
                    <w:t xml:space="preserve">Roma, 24/10/2017 </w:t>
                  </w:r>
                </w:p>
                <w:p w:rsidR="003E3798" w:rsidRPr="003E3798" w:rsidRDefault="003E3798" w:rsidP="003E3798">
                  <w:pPr>
                    <w:spacing w:after="0" w:line="240" w:lineRule="auto"/>
                    <w:rPr>
                      <w:rFonts w:ascii="Verdana" w:eastAsia="Times New Roman" w:hAnsi="Verdana" w:cs="Times New Roman"/>
                      <w:b/>
                      <w:bCs/>
                      <w:lang w:eastAsia="it-IT"/>
                    </w:rPr>
                  </w:pPr>
                  <w:r w:rsidRPr="003E3798">
                    <w:rPr>
                      <w:rFonts w:ascii="Verdana" w:eastAsia="Times New Roman" w:hAnsi="Verdana" w:cs="Times New Roman"/>
                      <w:b/>
                      <w:bCs/>
                      <w:lang w:eastAsia="it-IT"/>
                    </w:rPr>
                    <w:t xml:space="preserve">Circolare n. 153 </w:t>
                  </w:r>
                </w:p>
              </w:tc>
              <w:tc>
                <w:tcPr>
                  <w:tcW w:w="2500" w:type="pct"/>
                  <w:hideMark/>
                </w:tcPr>
                <w:p w:rsidR="003E3798" w:rsidRPr="003E3798" w:rsidRDefault="003E3798" w:rsidP="003E3798">
                  <w:pPr>
                    <w:spacing w:after="0" w:line="240" w:lineRule="auto"/>
                    <w:rPr>
                      <w:rFonts w:ascii="Verdana" w:eastAsia="Times New Roman" w:hAnsi="Verdana" w:cs="Times New Roman"/>
                      <w:i/>
                      <w:iCs/>
                      <w:lang w:eastAsia="it-IT"/>
                    </w:rPr>
                  </w:pPr>
                  <w:r w:rsidRPr="003E3798">
                    <w:rPr>
                      <w:rFonts w:ascii="Verdana" w:eastAsia="Times New Roman" w:hAnsi="Verdana" w:cs="Times New Roman"/>
                      <w:i/>
                      <w:iCs/>
                      <w:lang w:eastAsia="it-IT"/>
                    </w:rPr>
                    <w:t xml:space="preserve">Ai Dirigenti centrali e periferici </w:t>
                  </w:r>
                  <w:r w:rsidRPr="003E3798">
                    <w:rPr>
                      <w:rFonts w:ascii="Verdana" w:eastAsia="Times New Roman" w:hAnsi="Verdana" w:cs="Times New Roman"/>
                      <w:i/>
                      <w:iCs/>
                      <w:lang w:eastAsia="it-IT"/>
                    </w:rPr>
                    <w:br/>
                    <w:t xml:space="preserve">Ai Responsabili delle Agenzie </w:t>
                  </w:r>
                  <w:r w:rsidRPr="003E3798">
                    <w:rPr>
                      <w:rFonts w:ascii="Verdana" w:eastAsia="Times New Roman" w:hAnsi="Verdana" w:cs="Times New Roman"/>
                      <w:i/>
                      <w:iCs/>
                      <w:lang w:eastAsia="it-IT"/>
                    </w:rPr>
                    <w:br/>
                    <w:t xml:space="preserve">Ai Coordinatori generali, centrali e </w:t>
                  </w:r>
                  <w:r w:rsidRPr="003E3798">
                    <w:rPr>
                      <w:rFonts w:ascii="Verdana" w:eastAsia="Times New Roman" w:hAnsi="Verdana" w:cs="Times New Roman"/>
                      <w:i/>
                      <w:iCs/>
                      <w:lang w:eastAsia="it-IT"/>
                    </w:rPr>
                    <w:br/>
                    <w:t xml:space="preserve">   periferici dei Rami professionali </w:t>
                  </w:r>
                  <w:r w:rsidRPr="003E3798">
                    <w:rPr>
                      <w:rFonts w:ascii="Verdana" w:eastAsia="Times New Roman" w:hAnsi="Verdana" w:cs="Times New Roman"/>
                      <w:i/>
                      <w:iCs/>
                      <w:lang w:eastAsia="it-IT"/>
                    </w:rPr>
                    <w:br/>
                    <w:t xml:space="preserve">Al Coordinatore generale Medico legale e </w:t>
                  </w:r>
                  <w:r w:rsidRPr="003E3798">
                    <w:rPr>
                      <w:rFonts w:ascii="Verdana" w:eastAsia="Times New Roman" w:hAnsi="Verdana" w:cs="Times New Roman"/>
                      <w:i/>
                      <w:iCs/>
                      <w:lang w:eastAsia="it-IT"/>
                    </w:rPr>
                    <w:br/>
                    <w:t xml:space="preserve">   Dirigenti Medici </w:t>
                  </w:r>
                  <w:r w:rsidRPr="003E3798">
                    <w:rPr>
                      <w:rFonts w:ascii="Verdana" w:eastAsia="Times New Roman" w:hAnsi="Verdana" w:cs="Times New Roman"/>
                      <w:i/>
                      <w:iCs/>
                      <w:lang w:eastAsia="it-IT"/>
                    </w:rPr>
                    <w:br/>
                  </w:r>
                  <w:r w:rsidRPr="003E3798">
                    <w:rPr>
                      <w:rFonts w:ascii="Verdana" w:eastAsia="Times New Roman" w:hAnsi="Verdana" w:cs="Times New Roman"/>
                      <w:i/>
                      <w:iCs/>
                      <w:lang w:eastAsia="it-IT"/>
                    </w:rPr>
                    <w:br/>
                  </w:r>
                  <w:r w:rsidRPr="003E3798">
                    <w:rPr>
                      <w:rFonts w:ascii="Verdana" w:eastAsia="Times New Roman" w:hAnsi="Verdana" w:cs="Times New Roman"/>
                      <w:lang w:eastAsia="it-IT"/>
                    </w:rPr>
                    <w:t>e, per conoscenza,</w:t>
                  </w:r>
                  <w:r w:rsidRPr="003E3798">
                    <w:rPr>
                      <w:rFonts w:ascii="Verdana" w:eastAsia="Times New Roman" w:hAnsi="Verdana" w:cs="Times New Roman"/>
                      <w:i/>
                      <w:iCs/>
                      <w:lang w:eastAsia="it-IT"/>
                    </w:rPr>
                    <w:t xml:space="preserve"> </w:t>
                  </w:r>
                  <w:r w:rsidRPr="003E3798">
                    <w:rPr>
                      <w:rFonts w:ascii="Verdana" w:eastAsia="Times New Roman" w:hAnsi="Verdana" w:cs="Times New Roman"/>
                      <w:i/>
                      <w:iCs/>
                      <w:lang w:eastAsia="it-IT"/>
                    </w:rPr>
                    <w:br/>
                  </w:r>
                  <w:r w:rsidRPr="003E3798">
                    <w:rPr>
                      <w:rFonts w:ascii="Verdana" w:eastAsia="Times New Roman" w:hAnsi="Verdana" w:cs="Times New Roman"/>
                      <w:i/>
                      <w:iCs/>
                      <w:lang w:eastAsia="it-IT"/>
                    </w:rPr>
                    <w:br/>
                    <w:t xml:space="preserve">Al Presidente </w:t>
                  </w:r>
                  <w:r w:rsidRPr="003E3798">
                    <w:rPr>
                      <w:rFonts w:ascii="Verdana" w:eastAsia="Times New Roman" w:hAnsi="Verdana" w:cs="Times New Roman"/>
                      <w:i/>
                      <w:iCs/>
                      <w:lang w:eastAsia="it-IT"/>
                    </w:rPr>
                    <w:br/>
                    <w:t xml:space="preserve">Al Presidente e ai Componenti del Consiglio di Indirizzo e Vigilanza </w:t>
                  </w:r>
                  <w:r w:rsidRPr="003E3798">
                    <w:rPr>
                      <w:rFonts w:ascii="Verdana" w:eastAsia="Times New Roman" w:hAnsi="Verdana" w:cs="Times New Roman"/>
                      <w:i/>
                      <w:iCs/>
                      <w:lang w:eastAsia="it-IT"/>
                    </w:rPr>
                    <w:br/>
                    <w:t xml:space="preserve">Al Presidente e ai Componenti del Collegio dei Sindaci </w:t>
                  </w:r>
                  <w:r w:rsidRPr="003E3798">
                    <w:rPr>
                      <w:rFonts w:ascii="Verdana" w:eastAsia="Times New Roman" w:hAnsi="Verdana" w:cs="Times New Roman"/>
                      <w:i/>
                      <w:iCs/>
                      <w:lang w:eastAsia="it-IT"/>
                    </w:rPr>
                    <w:br/>
                    <w:t xml:space="preserve">Al Magistrato della Corte dei Conti delegato all'esercizio del controllo </w:t>
                  </w:r>
                  <w:r w:rsidRPr="003E3798">
                    <w:rPr>
                      <w:rFonts w:ascii="Verdana" w:eastAsia="Times New Roman" w:hAnsi="Verdana" w:cs="Times New Roman"/>
                      <w:i/>
                      <w:iCs/>
                      <w:lang w:eastAsia="it-IT"/>
                    </w:rPr>
                    <w:br/>
                    <w:t xml:space="preserve">Ai Presidenti dei Comitati amministratori </w:t>
                  </w:r>
                  <w:r w:rsidRPr="003E3798">
                    <w:rPr>
                      <w:rFonts w:ascii="Verdana" w:eastAsia="Times New Roman" w:hAnsi="Verdana" w:cs="Times New Roman"/>
                      <w:i/>
                      <w:iCs/>
                      <w:lang w:eastAsia="it-IT"/>
                    </w:rPr>
                    <w:br/>
                    <w:t xml:space="preserve">   di fondi, gestioni e casse </w:t>
                  </w:r>
                  <w:r w:rsidRPr="003E3798">
                    <w:rPr>
                      <w:rFonts w:ascii="Verdana" w:eastAsia="Times New Roman" w:hAnsi="Verdana" w:cs="Times New Roman"/>
                      <w:i/>
                      <w:iCs/>
                      <w:lang w:eastAsia="it-IT"/>
                    </w:rPr>
                    <w:br/>
                    <w:t xml:space="preserve">Al Presidente della Commissione centrale </w:t>
                  </w:r>
                  <w:r w:rsidRPr="003E3798">
                    <w:rPr>
                      <w:rFonts w:ascii="Verdana" w:eastAsia="Times New Roman" w:hAnsi="Verdana" w:cs="Times New Roman"/>
                      <w:i/>
                      <w:iCs/>
                      <w:lang w:eastAsia="it-IT"/>
                    </w:rPr>
                    <w:br/>
                    <w:t xml:space="preserve">   per l'accertamento e la riscossione </w:t>
                  </w:r>
                  <w:r w:rsidRPr="003E3798">
                    <w:rPr>
                      <w:rFonts w:ascii="Verdana" w:eastAsia="Times New Roman" w:hAnsi="Verdana" w:cs="Times New Roman"/>
                      <w:i/>
                      <w:iCs/>
                      <w:lang w:eastAsia="it-IT"/>
                    </w:rPr>
                    <w:br/>
                    <w:t xml:space="preserve">   dei contributi agricoli unificati </w:t>
                  </w:r>
                  <w:r w:rsidRPr="003E3798">
                    <w:rPr>
                      <w:rFonts w:ascii="Verdana" w:eastAsia="Times New Roman" w:hAnsi="Verdana" w:cs="Times New Roman"/>
                      <w:i/>
                      <w:iCs/>
                      <w:lang w:eastAsia="it-IT"/>
                    </w:rPr>
                    <w:br/>
                    <w:t xml:space="preserve">Ai Presidenti dei Comitati regionali </w:t>
                  </w:r>
                  <w:r w:rsidRPr="003E3798">
                    <w:rPr>
                      <w:rFonts w:ascii="Verdana" w:eastAsia="Times New Roman" w:hAnsi="Verdana" w:cs="Times New Roman"/>
                      <w:i/>
                      <w:iCs/>
                      <w:lang w:eastAsia="it-IT"/>
                    </w:rPr>
                    <w:br/>
                    <w:t xml:space="preserve">Ai Presidenti dei Comitati provinciali </w:t>
                  </w:r>
                </w:p>
              </w:tc>
            </w:tr>
            <w:tr w:rsidR="003E3798" w:rsidRPr="003E3798" w:rsidTr="003E3798">
              <w:tc>
                <w:tcPr>
                  <w:tcW w:w="2500" w:type="pct"/>
                  <w:hideMark/>
                </w:tcPr>
                <w:p w:rsidR="003E3798" w:rsidRPr="003E3798" w:rsidRDefault="003E3798" w:rsidP="003E3798">
                  <w:pPr>
                    <w:spacing w:after="150" w:line="240" w:lineRule="auto"/>
                    <w:rPr>
                      <w:rFonts w:ascii="Verdana" w:eastAsia="Times New Roman" w:hAnsi="Verdana" w:cs="Times New Roman"/>
                      <w:sz w:val="18"/>
                      <w:szCs w:val="18"/>
                      <w:lang w:eastAsia="it-IT"/>
                    </w:rPr>
                  </w:pPr>
                  <w:r w:rsidRPr="003E3798">
                    <w:rPr>
                      <w:rFonts w:ascii="Verdana" w:eastAsia="Times New Roman" w:hAnsi="Verdana" w:cs="Times New Roman"/>
                      <w:sz w:val="18"/>
                      <w:szCs w:val="18"/>
                      <w:lang w:eastAsia="it-IT"/>
                    </w:rPr>
                    <w:t xml:space="preserve">Allegati n.5 </w:t>
                  </w:r>
                </w:p>
              </w:tc>
              <w:tc>
                <w:tcPr>
                  <w:tcW w:w="2500" w:type="pct"/>
                  <w:hideMark/>
                </w:tcPr>
                <w:p w:rsidR="003E3798" w:rsidRPr="003E3798" w:rsidRDefault="003E3798" w:rsidP="003E3798">
                  <w:pPr>
                    <w:spacing w:after="0" w:line="240" w:lineRule="auto"/>
                    <w:rPr>
                      <w:rFonts w:ascii="Verdana" w:eastAsia="Times New Roman" w:hAnsi="Verdana" w:cs="Times New Roman"/>
                      <w:sz w:val="24"/>
                      <w:szCs w:val="24"/>
                      <w:lang w:eastAsia="it-IT"/>
                    </w:rPr>
                  </w:pPr>
                </w:p>
              </w:tc>
            </w:tr>
            <w:tr w:rsidR="003E3798" w:rsidRPr="003E3798" w:rsidTr="003E3798">
              <w:tc>
                <w:tcPr>
                  <w:tcW w:w="1950" w:type="dxa"/>
                  <w:tcMar>
                    <w:top w:w="0" w:type="dxa"/>
                    <w:left w:w="0" w:type="dxa"/>
                    <w:bottom w:w="0" w:type="dxa"/>
                    <w:right w:w="75" w:type="dxa"/>
                  </w:tcMar>
                  <w:hideMark/>
                </w:tcPr>
                <w:p w:rsidR="003E3798" w:rsidRPr="003E3798" w:rsidRDefault="003E3798" w:rsidP="003E3798">
                  <w:pPr>
                    <w:spacing w:after="0" w:line="240" w:lineRule="auto"/>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xml:space="preserve">OGGETTO: </w:t>
                  </w:r>
                </w:p>
              </w:tc>
              <w:tc>
                <w:tcPr>
                  <w:tcW w:w="0" w:type="auto"/>
                  <w:hideMark/>
                </w:tcPr>
                <w:p w:rsidR="003E3798" w:rsidRPr="003E3798" w:rsidRDefault="003E3798" w:rsidP="003E3798">
                  <w:pPr>
                    <w:spacing w:after="0" w:line="240" w:lineRule="auto"/>
                    <w:rPr>
                      <w:rFonts w:ascii="Verdana" w:eastAsia="Times New Roman" w:hAnsi="Verdana" w:cs="Times New Roman"/>
                      <w:b/>
                      <w:bCs/>
                      <w:sz w:val="24"/>
                      <w:szCs w:val="24"/>
                      <w:lang w:eastAsia="it-IT"/>
                    </w:rPr>
                  </w:pPr>
                  <w:r w:rsidRPr="003E3798">
                    <w:rPr>
                      <w:rFonts w:ascii="Verdana" w:eastAsia="Times New Roman" w:hAnsi="Verdana" w:cs="Times New Roman"/>
                      <w:b/>
                      <w:bCs/>
                      <w:sz w:val="24"/>
                      <w:szCs w:val="24"/>
                      <w:lang w:eastAsia="it-IT"/>
                    </w:rPr>
                    <w:t>Nuove modalità di presentazione delle domande di accredito della contribuzione figurativa per i periodi di aspettativa non retribuita concessa per cariche elettive o sindacali - Utilizzo del canale telematico, in via esclusiva, a decorrere dal 1° gennaio 2018.</w:t>
                  </w:r>
                </w:p>
              </w:tc>
            </w:tr>
          </w:tbl>
          <w:p w:rsidR="003E3798" w:rsidRPr="003E3798" w:rsidRDefault="003E3798" w:rsidP="003E3798">
            <w:pPr>
              <w:spacing w:after="150" w:line="240" w:lineRule="auto"/>
              <w:jc w:val="both"/>
              <w:rPr>
                <w:rFonts w:ascii="Verdana" w:eastAsia="Times New Roman" w:hAnsi="Verdana" w:cs="Times New Roman"/>
                <w:vanish/>
                <w:lang w:eastAsia="it-IT"/>
              </w:rPr>
            </w:pPr>
          </w:p>
          <w:tbl>
            <w:tblPr>
              <w:tblW w:w="5000" w:type="pct"/>
              <w:tblCellMar>
                <w:left w:w="0" w:type="dxa"/>
                <w:right w:w="0" w:type="dxa"/>
              </w:tblCellMar>
              <w:tblLook w:val="04A0"/>
            </w:tblPr>
            <w:tblGrid>
              <w:gridCol w:w="1950"/>
              <w:gridCol w:w="7688"/>
            </w:tblGrid>
            <w:tr w:rsidR="003E3798" w:rsidRPr="003E3798" w:rsidTr="003E3798">
              <w:tc>
                <w:tcPr>
                  <w:tcW w:w="1950" w:type="dxa"/>
                  <w:tcMar>
                    <w:top w:w="0" w:type="dxa"/>
                    <w:left w:w="0" w:type="dxa"/>
                    <w:bottom w:w="0" w:type="dxa"/>
                    <w:right w:w="75" w:type="dxa"/>
                  </w:tcMar>
                  <w:hideMark/>
                </w:tcPr>
                <w:p w:rsidR="003E3798" w:rsidRPr="003E3798" w:rsidRDefault="003E3798" w:rsidP="003E3798">
                  <w:pPr>
                    <w:spacing w:after="0" w:line="240" w:lineRule="auto"/>
                    <w:rPr>
                      <w:rFonts w:ascii="Verdana" w:eastAsia="Times New Roman" w:hAnsi="Verdana" w:cs="Times New Roman"/>
                      <w:b/>
                      <w:bCs/>
                      <w:sz w:val="24"/>
                      <w:szCs w:val="24"/>
                      <w:lang w:eastAsia="it-IT"/>
                    </w:rPr>
                  </w:pPr>
                  <w:r w:rsidRPr="003E3798">
                    <w:rPr>
                      <w:rFonts w:ascii="Verdana" w:eastAsia="Times New Roman" w:hAnsi="Verdana" w:cs="Times New Roman"/>
                      <w:b/>
                      <w:bCs/>
                      <w:sz w:val="24"/>
                      <w:szCs w:val="24"/>
                      <w:lang w:eastAsia="it-IT"/>
                    </w:rPr>
                    <w:t xml:space="preserve">  </w:t>
                  </w:r>
                </w:p>
              </w:tc>
              <w:tc>
                <w:tcPr>
                  <w:tcW w:w="0" w:type="auto"/>
                  <w:hideMark/>
                </w:tcPr>
                <w:p w:rsidR="003E3798" w:rsidRPr="003E3798" w:rsidRDefault="003E3798" w:rsidP="003E3798">
                  <w:pPr>
                    <w:spacing w:after="0" w:line="240" w:lineRule="auto"/>
                    <w:rPr>
                      <w:rFonts w:ascii="Verdana" w:eastAsia="Times New Roman" w:hAnsi="Verdana" w:cs="Times New Roman"/>
                      <w:i/>
                      <w:iCs/>
                      <w:sz w:val="24"/>
                      <w:szCs w:val="24"/>
                      <w:lang w:eastAsia="it-IT"/>
                    </w:rPr>
                  </w:pPr>
                  <w:r w:rsidRPr="003E3798">
                    <w:rPr>
                      <w:rFonts w:ascii="Verdana" w:eastAsia="Times New Roman" w:hAnsi="Verdana" w:cs="Times New Roman"/>
                      <w:i/>
                      <w:iCs/>
                      <w:sz w:val="24"/>
                      <w:szCs w:val="24"/>
                      <w:lang w:eastAsia="it-IT"/>
                    </w:rPr>
                    <w:t xml:space="preserve">  </w:t>
                  </w:r>
                </w:p>
              </w:tc>
            </w:tr>
          </w:tbl>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b/>
                <w:bCs/>
                <w:sz w:val="24"/>
                <w:szCs w:val="24"/>
                <w:lang w:eastAsia="it-IT"/>
              </w:rPr>
              <w:t>Premessa</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xml:space="preserve">L’Istituto è da tempo impegnato nel complesso e graduale processo di </w:t>
            </w:r>
            <w:proofErr w:type="spellStart"/>
            <w:r w:rsidRPr="003E3798">
              <w:rPr>
                <w:rFonts w:ascii="Verdana" w:eastAsia="Times New Roman" w:hAnsi="Verdana" w:cs="Times New Roman"/>
                <w:sz w:val="24"/>
                <w:szCs w:val="24"/>
                <w:lang w:eastAsia="it-IT"/>
              </w:rPr>
              <w:t>telematizzazione</w:t>
            </w:r>
            <w:proofErr w:type="spellEnd"/>
            <w:r w:rsidRPr="003E3798">
              <w:rPr>
                <w:rFonts w:ascii="Verdana" w:eastAsia="Times New Roman" w:hAnsi="Verdana" w:cs="Times New Roman"/>
                <w:sz w:val="24"/>
                <w:szCs w:val="24"/>
                <w:lang w:eastAsia="it-IT"/>
              </w:rPr>
              <w:t xml:space="preserve"> dei servizi avviato dal 2010 a seguito della determinazione presidenziale n.75 – avente ad oggetto </w:t>
            </w:r>
            <w:r w:rsidRPr="003E3798">
              <w:rPr>
                <w:rFonts w:ascii="Verdana" w:eastAsia="Times New Roman" w:hAnsi="Verdana" w:cs="Times New Roman"/>
                <w:i/>
                <w:iCs/>
                <w:sz w:val="24"/>
                <w:szCs w:val="24"/>
                <w:lang w:eastAsia="it-IT"/>
              </w:rPr>
              <w:t>“Estensione e potenziamento dei servizi telematici offerti dall’INPS ai cittadini”</w:t>
            </w:r>
            <w:r w:rsidRPr="003E3798">
              <w:rPr>
                <w:rFonts w:ascii="Verdana" w:eastAsia="Times New Roman" w:hAnsi="Verdana" w:cs="Times New Roman"/>
                <w:sz w:val="24"/>
                <w:szCs w:val="24"/>
                <w:lang w:eastAsia="it-IT"/>
              </w:rPr>
              <w:t xml:space="preserve"> – con la quale è stato stabilito l’utilizzo esclusivo del canale telematico per la presentazione delle principali domande di prestazioni/servizi.</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xml:space="preserve">Con la presente circolare si comunica che è disponibile, sul sito dell’Istituto la nuova applicazione che consente l’invio telematico della domanda di accredito della contribuzione figurativa per i periodi di aspettativa non retribuita </w:t>
            </w:r>
            <w:r w:rsidRPr="003E3798">
              <w:rPr>
                <w:rFonts w:ascii="Verdana" w:eastAsia="Times New Roman" w:hAnsi="Verdana" w:cs="Times New Roman"/>
                <w:sz w:val="24"/>
                <w:szCs w:val="24"/>
                <w:lang w:eastAsia="it-IT"/>
              </w:rPr>
              <w:lastRenderedPageBreak/>
              <w:t xml:space="preserve">concessa per cariche elettive o sindacali nelle gestioni dei </w:t>
            </w:r>
            <w:r w:rsidRPr="003E3798">
              <w:rPr>
                <w:rFonts w:ascii="Verdana" w:eastAsia="Times New Roman" w:hAnsi="Verdana" w:cs="Times New Roman"/>
                <w:sz w:val="24"/>
                <w:szCs w:val="24"/>
                <w:u w:val="single"/>
                <w:lang w:eastAsia="it-IT"/>
              </w:rPr>
              <w:t>dipendenti privati</w:t>
            </w:r>
            <w:r w:rsidRPr="003E3798">
              <w:rPr>
                <w:rFonts w:ascii="Verdana" w:eastAsia="Times New Roman" w:hAnsi="Verdana" w:cs="Times New Roman"/>
                <w:sz w:val="24"/>
                <w:szCs w:val="24"/>
                <w:lang w:eastAsia="it-IT"/>
              </w:rPr>
              <w:t>, inclusi il Fondo pensioni sportivi professionisti (</w:t>
            </w:r>
            <w:proofErr w:type="spellStart"/>
            <w:r w:rsidRPr="003E3798">
              <w:rPr>
                <w:rFonts w:ascii="Verdana" w:eastAsia="Times New Roman" w:hAnsi="Verdana" w:cs="Times New Roman"/>
                <w:sz w:val="24"/>
                <w:szCs w:val="24"/>
                <w:lang w:eastAsia="it-IT"/>
              </w:rPr>
              <w:t>Fpsp</w:t>
            </w:r>
            <w:proofErr w:type="spellEnd"/>
            <w:r w:rsidRPr="003E3798">
              <w:rPr>
                <w:rFonts w:ascii="Verdana" w:eastAsia="Times New Roman" w:hAnsi="Verdana" w:cs="Times New Roman"/>
                <w:sz w:val="24"/>
                <w:szCs w:val="24"/>
                <w:lang w:eastAsia="it-IT"/>
              </w:rPr>
              <w:t>) e Fondo pensioni lavoratori dello spettacolo (</w:t>
            </w:r>
            <w:proofErr w:type="spellStart"/>
            <w:r w:rsidRPr="003E3798">
              <w:rPr>
                <w:rFonts w:ascii="Verdana" w:eastAsia="Times New Roman" w:hAnsi="Verdana" w:cs="Times New Roman"/>
                <w:sz w:val="24"/>
                <w:szCs w:val="24"/>
                <w:lang w:eastAsia="it-IT"/>
              </w:rPr>
              <w:t>Fpls</w:t>
            </w:r>
            <w:proofErr w:type="spellEnd"/>
            <w:r w:rsidRPr="003E3798">
              <w:rPr>
                <w:rFonts w:ascii="Verdana" w:eastAsia="Times New Roman" w:hAnsi="Verdana" w:cs="Times New Roman"/>
                <w:sz w:val="24"/>
                <w:szCs w:val="24"/>
                <w:lang w:eastAsia="it-IT"/>
              </w:rPr>
              <w:t>).</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Si ricorda, per completezza, che dal 16 gennaio 2014, per i lavoratori dipendenti iscritti alle ex gestioni dell’INPDAP opera il regime dell’invio della domanda telematica.</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b/>
                <w:bCs/>
                <w:sz w:val="24"/>
                <w:szCs w:val="24"/>
                <w:lang w:eastAsia="it-IT"/>
              </w:rPr>
              <w:t>2.</w:t>
            </w:r>
            <w:r w:rsidRPr="003E3798">
              <w:rPr>
                <w:rFonts w:ascii="Verdana" w:eastAsia="Times New Roman" w:hAnsi="Verdana" w:cs="Times New Roman"/>
                <w:sz w:val="24"/>
                <w:szCs w:val="24"/>
                <w:lang w:eastAsia="it-IT"/>
              </w:rPr>
              <w:t xml:space="preserve"> </w:t>
            </w:r>
            <w:r w:rsidRPr="003E3798">
              <w:rPr>
                <w:rFonts w:ascii="Verdana" w:eastAsia="Times New Roman" w:hAnsi="Verdana" w:cs="Times New Roman"/>
                <w:b/>
                <w:bCs/>
                <w:sz w:val="24"/>
                <w:szCs w:val="24"/>
                <w:lang w:eastAsia="it-IT"/>
              </w:rPr>
              <w:t>Disciplina del termine di decadenza entro cui inoltrare la domanda di accredito figurativo.</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xml:space="preserve">Come noto, la domanda di accredito figurativo per aspettativa per cariche sindacali o elettorali deve essere presentata, </w:t>
            </w:r>
            <w:r w:rsidRPr="003E3798">
              <w:rPr>
                <w:rFonts w:ascii="Verdana" w:eastAsia="Times New Roman" w:hAnsi="Verdana" w:cs="Times New Roman"/>
                <w:sz w:val="24"/>
                <w:szCs w:val="24"/>
                <w:u w:val="single"/>
                <w:lang w:eastAsia="it-IT"/>
              </w:rPr>
              <w:t>a pena di decadenza</w:t>
            </w:r>
            <w:r w:rsidRPr="003E3798">
              <w:rPr>
                <w:rFonts w:ascii="Verdana" w:eastAsia="Times New Roman" w:hAnsi="Verdana" w:cs="Times New Roman"/>
                <w:sz w:val="24"/>
                <w:szCs w:val="24"/>
                <w:lang w:eastAsia="it-IT"/>
              </w:rPr>
              <w:t>, entro il 30 settembre dell’anno successivo a quello nel corso del quale abbia avuto inizio o si sia protratta l’aspettativa. Anche per</w:t>
            </w:r>
            <w:r w:rsidRPr="003E3798">
              <w:rPr>
                <w:rFonts w:ascii="Verdana" w:eastAsia="Times New Roman" w:hAnsi="Verdana" w:cs="Times New Roman"/>
                <w:sz w:val="24"/>
                <w:szCs w:val="24"/>
                <w:u w:val="single"/>
                <w:lang w:eastAsia="it-IT"/>
              </w:rPr>
              <w:t>le aspettative di durata pluriennale</w:t>
            </w:r>
            <w:r w:rsidRPr="003E3798">
              <w:rPr>
                <w:rFonts w:ascii="Verdana" w:eastAsia="Times New Roman" w:hAnsi="Verdana" w:cs="Times New Roman"/>
                <w:sz w:val="24"/>
                <w:szCs w:val="24"/>
                <w:lang w:eastAsia="it-IT"/>
              </w:rPr>
              <w:t xml:space="preserve">, la domanda di accredito deve essere presentata, </w:t>
            </w:r>
            <w:r w:rsidRPr="003E3798">
              <w:rPr>
                <w:rFonts w:ascii="Verdana" w:eastAsia="Times New Roman" w:hAnsi="Verdana" w:cs="Times New Roman"/>
                <w:sz w:val="24"/>
                <w:szCs w:val="24"/>
                <w:u w:val="single"/>
                <w:lang w:eastAsia="it-IT"/>
              </w:rPr>
              <w:t>a pena di decadenza</w:t>
            </w:r>
            <w:r w:rsidRPr="003E3798">
              <w:rPr>
                <w:rFonts w:ascii="Verdana" w:eastAsia="Times New Roman" w:hAnsi="Verdana" w:cs="Times New Roman"/>
                <w:sz w:val="24"/>
                <w:szCs w:val="24"/>
                <w:lang w:eastAsia="it-IT"/>
              </w:rPr>
              <w:t>, entro il 30 settembre di ogni anno con riferimento all’anno solare precedente (art.3, comma 3, del D.Lgs</w:t>
            </w:r>
            <w:proofErr w:type="spellStart"/>
            <w:r w:rsidRPr="003E3798">
              <w:rPr>
                <w:rFonts w:ascii="Verdana" w:eastAsia="Times New Roman" w:hAnsi="Verdana" w:cs="Times New Roman"/>
                <w:sz w:val="24"/>
                <w:szCs w:val="24"/>
                <w:lang w:eastAsia="it-IT"/>
              </w:rPr>
              <w:t>.564/9</w:t>
            </w:r>
            <w:proofErr w:type="spellEnd"/>
            <w:r w:rsidRPr="003E3798">
              <w:rPr>
                <w:rFonts w:ascii="Verdana" w:eastAsia="Times New Roman" w:hAnsi="Verdana" w:cs="Times New Roman"/>
                <w:sz w:val="24"/>
                <w:szCs w:val="24"/>
                <w:lang w:eastAsia="it-IT"/>
              </w:rPr>
              <w:t>6).</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xml:space="preserve">Il legislatore, tra l’altro, ha previsto, al comma 3, dell’art. 38, della legge 488 del 1999 il rinnovo tacito della domanda per i soggetti di cui al comma 1 del medesimo articolo, cioè per i lavoratori dipendenti dei settori pubblico e privato, eletti membri del Parlamento nazionale, del Parlamento europeo o di Assemblea regionale ovvero nominati a ricoprire funzioni pubbliche, </w:t>
            </w:r>
            <w:r w:rsidRPr="003E3798">
              <w:rPr>
                <w:rFonts w:ascii="Verdana" w:eastAsia="Times New Roman" w:hAnsi="Verdana" w:cs="Times New Roman"/>
                <w:i/>
                <w:iCs/>
                <w:sz w:val="24"/>
                <w:szCs w:val="24"/>
                <w:u w:val="single"/>
                <w:lang w:eastAsia="it-IT"/>
              </w:rPr>
              <w:t>che in ragione dell'elezione o della nomina maturino il diritto ad un vitalizio o ad un incremento della pensione loro spettante.</w:t>
            </w:r>
            <w:r w:rsidRPr="003E3798">
              <w:rPr>
                <w:rFonts w:ascii="Verdana" w:eastAsia="Times New Roman" w:hAnsi="Verdana" w:cs="Times New Roman"/>
                <w:i/>
                <w:iCs/>
                <w:sz w:val="24"/>
                <w:szCs w:val="24"/>
                <w:lang w:eastAsia="it-IT"/>
              </w:rPr>
              <w:t xml:space="preserve"> </w:t>
            </w:r>
            <w:r w:rsidRPr="003E3798">
              <w:rPr>
                <w:rFonts w:ascii="Verdana" w:eastAsia="Times New Roman" w:hAnsi="Verdana" w:cs="Times New Roman"/>
                <w:sz w:val="24"/>
                <w:szCs w:val="24"/>
                <w:lang w:eastAsia="it-IT"/>
              </w:rPr>
              <w:t>Tali ultimi soggetti, qualora intendano avvalersi della facoltà di accreditamento dei contributi figurativi, presentano domanda entro il 30 settembre dell'anno successivo a quello nel corso del quale ha avuto inizio l'aspettativa, a pena di decadenza. La domanda si intende tacitamente rinnovata ogni anno salvo espressa manifestazione di volontà in senso contrario.</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Tutti gli altri lavoratori dipendenti in aspettativa devono presentare ogni anno la domanda di accredito figurativo entro il 30 settembre (in applicazione all’art. 3, co</w:t>
            </w:r>
            <w:proofErr w:type="spellStart"/>
            <w:r w:rsidRPr="003E3798">
              <w:rPr>
                <w:rFonts w:ascii="Verdana" w:eastAsia="Times New Roman" w:hAnsi="Verdana" w:cs="Times New Roman"/>
                <w:sz w:val="24"/>
                <w:szCs w:val="24"/>
                <w:lang w:eastAsia="it-IT"/>
              </w:rPr>
              <w:t>.3</w:t>
            </w:r>
            <w:proofErr w:type="spellEnd"/>
            <w:r w:rsidRPr="003E3798">
              <w:rPr>
                <w:rFonts w:ascii="Verdana" w:eastAsia="Times New Roman" w:hAnsi="Verdana" w:cs="Times New Roman"/>
                <w:sz w:val="24"/>
                <w:szCs w:val="24"/>
                <w:lang w:eastAsia="it-IT"/>
              </w:rPr>
              <w:t xml:space="preserve">, del </w:t>
            </w:r>
            <w:proofErr w:type="spellStart"/>
            <w:r w:rsidRPr="003E3798">
              <w:rPr>
                <w:rFonts w:ascii="Verdana" w:eastAsia="Times New Roman" w:hAnsi="Verdana" w:cs="Times New Roman"/>
                <w:sz w:val="24"/>
                <w:szCs w:val="24"/>
                <w:lang w:eastAsia="it-IT"/>
              </w:rPr>
              <w:t>D.Lgs.</w:t>
            </w:r>
            <w:proofErr w:type="spellEnd"/>
            <w:r w:rsidRPr="003E3798">
              <w:rPr>
                <w:rFonts w:ascii="Verdana" w:eastAsia="Times New Roman" w:hAnsi="Verdana" w:cs="Times New Roman"/>
                <w:sz w:val="24"/>
                <w:szCs w:val="24"/>
                <w:lang w:eastAsia="it-IT"/>
              </w:rPr>
              <w:t xml:space="preserve"> n. 564/1996).</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xml:space="preserve">Ne deriva, pertanto, che il criterio del </w:t>
            </w:r>
            <w:r w:rsidRPr="003E3798">
              <w:rPr>
                <w:rFonts w:ascii="Verdana" w:eastAsia="Times New Roman" w:hAnsi="Verdana" w:cs="Times New Roman"/>
                <w:sz w:val="24"/>
                <w:szCs w:val="24"/>
                <w:u w:val="single"/>
                <w:lang w:eastAsia="it-IT"/>
              </w:rPr>
              <w:t>rinnovo tacito non opera laddove</w:t>
            </w:r>
            <w:r w:rsidRPr="003E3798">
              <w:rPr>
                <w:rFonts w:ascii="Verdana" w:eastAsia="Times New Roman" w:hAnsi="Verdana" w:cs="Times New Roman"/>
                <w:sz w:val="24"/>
                <w:szCs w:val="24"/>
                <w:lang w:eastAsia="it-IT"/>
              </w:rPr>
              <w:t xml:space="preserve">, in ragione dell'elezione o della nomina, </w:t>
            </w:r>
            <w:r w:rsidRPr="003E3798">
              <w:rPr>
                <w:rFonts w:ascii="Verdana" w:eastAsia="Times New Roman" w:hAnsi="Verdana" w:cs="Times New Roman"/>
                <w:sz w:val="24"/>
                <w:szCs w:val="24"/>
                <w:u w:val="single"/>
                <w:lang w:eastAsia="it-IT"/>
              </w:rPr>
              <w:t>l’interessato non maturi il diritto ad un vitalizio o ad un incremento della pensione</w:t>
            </w:r>
            <w:r w:rsidRPr="003E3798">
              <w:rPr>
                <w:rFonts w:ascii="Verdana" w:eastAsia="Times New Roman" w:hAnsi="Verdana" w:cs="Times New Roman"/>
                <w:sz w:val="24"/>
                <w:szCs w:val="24"/>
                <w:lang w:eastAsia="it-IT"/>
              </w:rPr>
              <w:t>. In tal caso vige la regola generale di cui all’art. 3, comma 3, del D.lgs.564/1996, per cui la domanda va presentata, a pena di decadenza, entro il 30 settembre di ogni anno con riferimento all’anno solare precedente.</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Ciò posto, si precisa che il sopra descritto regime giuridico si applica anche alla domanda inoltrata telematicamente.</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xml:space="preserve">Al fine di consentire la presentazione della domanda di accredito di contribuzione figurativa per cariche politiche e/o sindacali per periodi che si </w:t>
            </w:r>
            <w:r w:rsidRPr="003E3798">
              <w:rPr>
                <w:rFonts w:ascii="Verdana" w:eastAsia="Times New Roman" w:hAnsi="Verdana" w:cs="Times New Roman"/>
                <w:sz w:val="24"/>
                <w:szCs w:val="24"/>
                <w:lang w:eastAsia="it-IT"/>
              </w:rPr>
              <w:lastRenderedPageBreak/>
              <w:t>chiudono in corso d’anno e che possono essere utili per il raggiungimento del diritto a pensione, la procedura informatica permette l’inoltro dell’istanza anche con riferimento a periodi di aspettativa che si collochino nell’anno in corso al momento della domanda.</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In ogni caso, l’istanza non può riguardare lassi temporali di aspettativa successivi alla data di presentazione della domanda medesima. Gli ulteriori periodi di aspettativa, una volta fruiti, potranno essere oggetto di successiva domanda da inoltrarsi, ovviamente, nel rispetto dei termini di decadenza.</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Resta fermo, in ogni caso, che il pagamento della quota a carico del richiedente di cui all’art. 38 della legge 488 del 1999, qualora dovuto, va effettuato dall’organo elettivo di appartenenza entro il 30 ottobre dell’anno successivo a quello in cui si collocano i periodi di aspettativa per i quali è chiesto l’accredito figurativo e costituisce condizione per l’accredito figurativo dei periodi di aspettativa in questione.</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b/>
                <w:bCs/>
                <w:sz w:val="24"/>
                <w:szCs w:val="24"/>
                <w:lang w:eastAsia="it-IT"/>
              </w:rPr>
              <w:t>3. Canale telematico esclusivo e periodo transitorio</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xml:space="preserve">La domanda dovrà essere presentata esclusivamente in via telematica dal 1° gennaio 2018. Fino a tale data, le domande potranno essere presentate sia attraverso il canale telematico sia tramite PEC, raccomandata A/R o consegna diretta agli sportelli Inps, utilizzando i moduli AP121, AP122, AP123 e AP124 reperibili sul sito </w:t>
            </w:r>
            <w:hyperlink r:id="rId5" w:history="1">
              <w:r w:rsidRPr="003E3798">
                <w:rPr>
                  <w:rFonts w:ascii="Verdana" w:eastAsia="Times New Roman" w:hAnsi="Verdana" w:cs="Times New Roman"/>
                  <w:color w:val="0000FF"/>
                  <w:u w:val="single"/>
                  <w:lang w:eastAsia="it-IT"/>
                </w:rPr>
                <w:t>www.inps.it</w:t>
              </w:r>
            </w:hyperlink>
            <w:r w:rsidRPr="003E3798">
              <w:rPr>
                <w:rFonts w:ascii="Verdana" w:eastAsia="Times New Roman" w:hAnsi="Verdana" w:cs="Times New Roman"/>
                <w:sz w:val="24"/>
                <w:szCs w:val="24"/>
                <w:lang w:eastAsia="it-IT"/>
              </w:rPr>
              <w:t xml:space="preserve"> seguendo il percorso: Prestazioni e servizi&gt;Tutti i moduli&gt;Assicurato/Pensionato. I moduli, in formato pdf editabile, sono anche disponibili in allegato alla presente circolare (allegati da 1 a 4).</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u w:val="single"/>
                <w:lang w:eastAsia="it-IT"/>
              </w:rPr>
              <w:t>A partire dal 1° gennaio 2018 l’istanza presentata in forma diversa da quella telematica non sarà accettata.</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Le domande telematiche devono essere presentate attraverso uno dei seguenti canali:</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numPr>
                <w:ilvl w:val="0"/>
                <w:numId w:val="1"/>
              </w:numPr>
              <w:spacing w:before="23" w:after="23" w:line="240" w:lineRule="auto"/>
              <w:ind w:left="945"/>
              <w:jc w:val="both"/>
              <w:rPr>
                <w:rFonts w:ascii="Verdana" w:eastAsia="Times New Roman" w:hAnsi="Verdana" w:cs="Times New Roman"/>
                <w:sz w:val="24"/>
                <w:szCs w:val="24"/>
                <w:lang w:eastAsia="it-IT"/>
              </w:rPr>
            </w:pPr>
            <w:r w:rsidRPr="003E3798">
              <w:rPr>
                <w:rFonts w:ascii="Verdana" w:eastAsia="Times New Roman" w:hAnsi="Verdana" w:cs="Times New Roman"/>
                <w:i/>
                <w:iCs/>
                <w:sz w:val="24"/>
                <w:szCs w:val="24"/>
                <w:lang w:eastAsia="it-IT"/>
              </w:rPr>
              <w:t xml:space="preserve">Sito internet www.inps.it&gt;Tutti i servizi&gt;Accredito figurativo per aspettativa per cariche sindacali e elettorali </w:t>
            </w:r>
            <w:r w:rsidRPr="003E3798">
              <w:rPr>
                <w:rFonts w:ascii="Verdana" w:eastAsia="Times New Roman" w:hAnsi="Verdana" w:cs="Times New Roman"/>
                <w:sz w:val="24"/>
                <w:szCs w:val="24"/>
                <w:lang w:eastAsia="it-IT"/>
              </w:rPr>
              <w:t xml:space="preserve">accessibile con PIN dispositivo, SPID </w:t>
            </w:r>
            <w:r w:rsidRPr="003E3798">
              <w:rPr>
                <w:rFonts w:ascii="Verdana" w:eastAsia="Times New Roman" w:hAnsi="Verdana" w:cs="Times New Roman"/>
                <w:sz w:val="24"/>
                <w:szCs w:val="24"/>
                <w:u w:val="single"/>
                <w:lang w:eastAsia="it-IT"/>
              </w:rPr>
              <w:t>(Sistema Pubblico di Identità Digitale)</w:t>
            </w:r>
            <w:r w:rsidRPr="003E3798">
              <w:rPr>
                <w:rFonts w:ascii="Verdana" w:eastAsia="Times New Roman" w:hAnsi="Verdana" w:cs="Times New Roman"/>
                <w:sz w:val="24"/>
                <w:szCs w:val="24"/>
                <w:lang w:eastAsia="it-IT"/>
              </w:rPr>
              <w:t xml:space="preserve"> - almeno di Livello 2</w:t>
            </w:r>
            <w:hyperlink r:id="rId6" w:history="1">
              <w:r w:rsidRPr="003E3798">
                <w:rPr>
                  <w:rFonts w:ascii="Verdana" w:eastAsia="Times New Roman" w:hAnsi="Verdana" w:cs="Times New Roman"/>
                  <w:color w:val="0000FF"/>
                  <w:u w:val="single"/>
                  <w:lang w:eastAsia="it-IT"/>
                </w:rPr>
                <w:t>[1]</w:t>
              </w:r>
            </w:hyperlink>
            <w:r w:rsidRPr="003E3798">
              <w:rPr>
                <w:rFonts w:ascii="Verdana" w:eastAsia="Times New Roman" w:hAnsi="Verdana" w:cs="Times New Roman"/>
                <w:sz w:val="24"/>
                <w:szCs w:val="24"/>
                <w:lang w:eastAsia="it-IT"/>
              </w:rPr>
              <w:t xml:space="preserve"> - o CNS </w:t>
            </w:r>
            <w:r w:rsidRPr="003E3798">
              <w:rPr>
                <w:rFonts w:ascii="Verdana" w:eastAsia="Times New Roman" w:hAnsi="Verdana" w:cs="Times New Roman"/>
                <w:sz w:val="24"/>
                <w:szCs w:val="24"/>
                <w:u w:val="single"/>
                <w:lang w:eastAsia="it-IT"/>
              </w:rPr>
              <w:t>(Carta Nazionale dei Servizi)</w:t>
            </w:r>
            <w:r w:rsidRPr="003E3798">
              <w:rPr>
                <w:rFonts w:ascii="Verdana" w:eastAsia="Times New Roman" w:hAnsi="Verdana" w:cs="Times New Roman"/>
                <w:sz w:val="24"/>
                <w:szCs w:val="24"/>
                <w:lang w:eastAsia="it-IT"/>
              </w:rPr>
              <w:t xml:space="preserve"> ;</w:t>
            </w:r>
          </w:p>
          <w:p w:rsidR="003E3798" w:rsidRPr="003E3798" w:rsidRDefault="003E3798" w:rsidP="003E3798">
            <w:pPr>
              <w:numPr>
                <w:ilvl w:val="0"/>
                <w:numId w:val="1"/>
              </w:numPr>
              <w:spacing w:before="23" w:after="23" w:line="240" w:lineRule="auto"/>
              <w:ind w:left="945"/>
              <w:jc w:val="both"/>
              <w:rPr>
                <w:rFonts w:ascii="Verdana" w:eastAsia="Times New Roman" w:hAnsi="Verdana" w:cs="Times New Roman"/>
                <w:sz w:val="24"/>
                <w:szCs w:val="24"/>
                <w:lang w:eastAsia="it-IT"/>
              </w:rPr>
            </w:pPr>
            <w:proofErr w:type="spellStart"/>
            <w:r w:rsidRPr="003E3798">
              <w:rPr>
                <w:rFonts w:ascii="Verdana" w:eastAsia="Times New Roman" w:hAnsi="Verdana" w:cs="Times New Roman"/>
                <w:i/>
                <w:iCs/>
                <w:sz w:val="24"/>
                <w:szCs w:val="24"/>
                <w:lang w:eastAsia="it-IT"/>
              </w:rPr>
              <w:t>Contact</w:t>
            </w:r>
            <w:proofErr w:type="spellEnd"/>
            <w:r w:rsidRPr="003E3798">
              <w:rPr>
                <w:rFonts w:ascii="Verdana" w:eastAsia="Times New Roman" w:hAnsi="Verdana" w:cs="Times New Roman"/>
                <w:i/>
                <w:iCs/>
                <w:sz w:val="24"/>
                <w:szCs w:val="24"/>
                <w:lang w:eastAsia="it-IT"/>
              </w:rPr>
              <w:t xml:space="preserve"> Center </w:t>
            </w:r>
            <w:r w:rsidRPr="003E3798">
              <w:rPr>
                <w:rFonts w:ascii="Verdana" w:eastAsia="Times New Roman" w:hAnsi="Verdana" w:cs="Times New Roman"/>
                <w:sz w:val="24"/>
                <w:szCs w:val="24"/>
                <w:lang w:eastAsia="it-IT"/>
              </w:rPr>
              <w:t>chiamando da rete fissa il numero gratuito 803 164 oppure il numero 06 164164 da telefono cellulare, a pagamento, secondo il piano tariffario del proprio gestore telefonico</w:t>
            </w:r>
            <w:r w:rsidRPr="003E3798">
              <w:rPr>
                <w:rFonts w:ascii="Verdana" w:eastAsia="Times New Roman" w:hAnsi="Verdana" w:cs="Times New Roman"/>
                <w:i/>
                <w:iCs/>
                <w:sz w:val="24"/>
                <w:szCs w:val="24"/>
                <w:lang w:eastAsia="it-IT"/>
              </w:rPr>
              <w:t>;</w:t>
            </w:r>
          </w:p>
          <w:p w:rsidR="003E3798" w:rsidRPr="003E3798" w:rsidRDefault="003E3798" w:rsidP="003E3798">
            <w:pPr>
              <w:numPr>
                <w:ilvl w:val="0"/>
                <w:numId w:val="1"/>
              </w:numPr>
              <w:spacing w:before="23" w:after="23" w:line="240" w:lineRule="auto"/>
              <w:ind w:left="945"/>
              <w:jc w:val="both"/>
              <w:rPr>
                <w:rFonts w:ascii="Verdana" w:eastAsia="Times New Roman" w:hAnsi="Verdana" w:cs="Times New Roman"/>
                <w:sz w:val="24"/>
                <w:szCs w:val="24"/>
                <w:lang w:eastAsia="it-IT"/>
              </w:rPr>
            </w:pPr>
            <w:r w:rsidRPr="003E3798">
              <w:rPr>
                <w:rFonts w:ascii="Verdana" w:eastAsia="Times New Roman" w:hAnsi="Verdana" w:cs="Times New Roman"/>
                <w:i/>
                <w:iCs/>
                <w:sz w:val="24"/>
                <w:szCs w:val="24"/>
                <w:lang w:eastAsia="it-IT"/>
              </w:rPr>
              <w:t xml:space="preserve">Patronati </w:t>
            </w:r>
            <w:r w:rsidRPr="003E3798">
              <w:rPr>
                <w:rFonts w:ascii="Verdana" w:eastAsia="Times New Roman" w:hAnsi="Verdana" w:cs="Times New Roman"/>
                <w:sz w:val="24"/>
                <w:szCs w:val="24"/>
                <w:lang w:eastAsia="it-IT"/>
              </w:rPr>
              <w:t xml:space="preserve">e </w:t>
            </w:r>
            <w:r w:rsidRPr="003E3798">
              <w:rPr>
                <w:rFonts w:ascii="Verdana" w:eastAsia="Times New Roman" w:hAnsi="Verdana" w:cs="Times New Roman"/>
                <w:i/>
                <w:iCs/>
                <w:sz w:val="24"/>
                <w:szCs w:val="24"/>
                <w:lang w:eastAsia="it-IT"/>
              </w:rPr>
              <w:t>altri soggetti abilitati all’intermediazione con l’Istituto</w:t>
            </w:r>
            <w:r w:rsidRPr="003E3798">
              <w:rPr>
                <w:rFonts w:ascii="Verdana" w:eastAsia="Times New Roman" w:hAnsi="Verdana" w:cs="Times New Roman"/>
                <w:sz w:val="24"/>
                <w:szCs w:val="24"/>
                <w:lang w:eastAsia="it-IT"/>
              </w:rPr>
              <w:t xml:space="preserve"> ai sensi dell’articolo 1 della Legge 11 gennaio 1979, n. 12</w:t>
            </w:r>
            <w:r w:rsidRPr="003E3798">
              <w:rPr>
                <w:rFonts w:ascii="Verdana" w:eastAsia="Times New Roman" w:hAnsi="Verdana" w:cs="Times New Roman"/>
                <w:i/>
                <w:iCs/>
                <w:sz w:val="24"/>
                <w:szCs w:val="24"/>
                <w:lang w:eastAsia="it-IT"/>
              </w:rPr>
              <w:t xml:space="preserve">, </w:t>
            </w:r>
            <w:r w:rsidRPr="003E3798">
              <w:rPr>
                <w:rFonts w:ascii="Verdana" w:eastAsia="Times New Roman" w:hAnsi="Verdana" w:cs="Times New Roman"/>
                <w:sz w:val="24"/>
                <w:szCs w:val="24"/>
                <w:lang w:eastAsia="it-IT"/>
              </w:rPr>
              <w:t xml:space="preserve">attraverso i servizi telematici offerti dagli stessi.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Si forniscono di seguito informazioni più dettagliate relative alla modalità di presentazione delle domande.</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b/>
                <w:bCs/>
                <w:sz w:val="24"/>
                <w:szCs w:val="24"/>
                <w:lang w:eastAsia="it-IT"/>
              </w:rPr>
              <w:t xml:space="preserve">3.1.     Presentazione della domanda tramite Web, direttamente dagli </w:t>
            </w:r>
            <w:r w:rsidRPr="003E3798">
              <w:rPr>
                <w:rFonts w:ascii="Verdana" w:eastAsia="Times New Roman" w:hAnsi="Verdana" w:cs="Times New Roman"/>
                <w:b/>
                <w:bCs/>
                <w:sz w:val="24"/>
                <w:szCs w:val="24"/>
                <w:lang w:eastAsia="it-IT"/>
              </w:rPr>
              <w:lastRenderedPageBreak/>
              <w:t>interessati</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Il servizio di presentazione delle domande è disponibile sul sito www.inps.it, sezione “Tutti i servizi” &gt; Accredito figurativo per aspettativa per cariche sindacali e elettorali (Cittadino). Al servizio è possibile accedere anche utilizzando la funzione Cerca o tramite le schede Prestazioni:</w:t>
            </w:r>
          </w:p>
          <w:p w:rsidR="003E3798" w:rsidRPr="003E3798" w:rsidRDefault="00B04DB9" w:rsidP="003E3798">
            <w:pPr>
              <w:numPr>
                <w:ilvl w:val="0"/>
                <w:numId w:val="2"/>
              </w:numPr>
              <w:spacing w:before="23" w:after="23" w:line="240" w:lineRule="auto"/>
              <w:ind w:left="945"/>
              <w:jc w:val="both"/>
              <w:rPr>
                <w:rFonts w:ascii="Verdana" w:eastAsia="Times New Roman" w:hAnsi="Verdana" w:cs="Times New Roman"/>
                <w:sz w:val="24"/>
                <w:szCs w:val="24"/>
                <w:lang w:eastAsia="it-IT"/>
              </w:rPr>
            </w:pPr>
            <w:hyperlink r:id="rId7" w:history="1">
              <w:r w:rsidR="003E3798" w:rsidRPr="003E3798">
                <w:rPr>
                  <w:rFonts w:ascii="Verdana" w:eastAsia="Times New Roman" w:hAnsi="Verdana" w:cs="Times New Roman"/>
                  <w:color w:val="0000FF"/>
                  <w:u w:val="single"/>
                  <w:lang w:eastAsia="it-IT"/>
                </w:rPr>
                <w:t>Accredito dei contributi figurativi per aspettativa sindacale</w:t>
              </w:r>
            </w:hyperlink>
          </w:p>
          <w:p w:rsidR="003E3798" w:rsidRPr="003E3798" w:rsidRDefault="00B04DB9" w:rsidP="003E3798">
            <w:pPr>
              <w:numPr>
                <w:ilvl w:val="0"/>
                <w:numId w:val="2"/>
              </w:numPr>
              <w:spacing w:before="23" w:after="23" w:line="240" w:lineRule="auto"/>
              <w:ind w:left="945"/>
              <w:jc w:val="both"/>
              <w:rPr>
                <w:rFonts w:ascii="Verdana" w:eastAsia="Times New Roman" w:hAnsi="Verdana" w:cs="Times New Roman"/>
                <w:sz w:val="24"/>
                <w:szCs w:val="24"/>
                <w:lang w:eastAsia="it-IT"/>
              </w:rPr>
            </w:pPr>
            <w:hyperlink r:id="rId8" w:history="1">
              <w:r w:rsidR="003E3798" w:rsidRPr="003E3798">
                <w:rPr>
                  <w:rFonts w:ascii="Verdana" w:eastAsia="Times New Roman" w:hAnsi="Verdana" w:cs="Times New Roman"/>
                  <w:color w:val="0000FF"/>
                  <w:u w:val="single"/>
                  <w:lang w:eastAsia="it-IT"/>
                </w:rPr>
                <w:t>Accredito dei contributi figurativi per aspettativa per cariche pubbliche elettive</w:t>
              </w:r>
            </w:hyperlink>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xml:space="preserve">Per poter accedere al servizio, il richiedente deve essere in possesso di PIN dispositivo, </w:t>
            </w:r>
            <w:r w:rsidRPr="003E3798">
              <w:rPr>
                <w:rFonts w:ascii="Verdana" w:eastAsia="Times New Roman" w:hAnsi="Verdana" w:cs="Times New Roman"/>
                <w:sz w:val="24"/>
                <w:szCs w:val="24"/>
                <w:u w:val="single"/>
                <w:lang w:eastAsia="it-IT"/>
              </w:rPr>
              <w:t>di credenziali SPID, almeno di Livello 2, o di CNS</w:t>
            </w:r>
            <w:r w:rsidRPr="003E3798">
              <w:rPr>
                <w:rFonts w:ascii="Verdana" w:eastAsia="Times New Roman" w:hAnsi="Verdana" w:cs="Times New Roman"/>
                <w:sz w:val="24"/>
                <w:szCs w:val="24"/>
                <w:lang w:eastAsia="it-IT"/>
              </w:rPr>
              <w:t>. Dopo aver inserito le credenziali l’utente accede dal menu del servizio che mette a disposizione le seguenti funzionalità:</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numPr>
                <w:ilvl w:val="0"/>
                <w:numId w:val="3"/>
              </w:numPr>
              <w:spacing w:before="23" w:after="23" w:line="240" w:lineRule="auto"/>
              <w:ind w:left="945"/>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xml:space="preserve">· </w:t>
            </w:r>
            <w:r w:rsidRPr="003E3798">
              <w:rPr>
                <w:rFonts w:ascii="Verdana" w:eastAsia="Times New Roman" w:hAnsi="Verdana" w:cs="Times New Roman"/>
                <w:i/>
                <w:iCs/>
                <w:sz w:val="24"/>
                <w:szCs w:val="24"/>
                <w:lang w:eastAsia="it-IT"/>
              </w:rPr>
              <w:t>“Inserisci Domanda”;</w:t>
            </w:r>
          </w:p>
          <w:p w:rsidR="003E3798" w:rsidRPr="003E3798" w:rsidRDefault="003E3798" w:rsidP="003E3798">
            <w:pPr>
              <w:numPr>
                <w:ilvl w:val="0"/>
                <w:numId w:val="3"/>
              </w:numPr>
              <w:spacing w:before="23" w:after="23" w:line="240" w:lineRule="auto"/>
              <w:ind w:left="945"/>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r w:rsidRPr="003E3798">
              <w:rPr>
                <w:rFonts w:ascii="Verdana" w:eastAsia="Times New Roman" w:hAnsi="Verdana" w:cs="Times New Roman"/>
                <w:i/>
                <w:iCs/>
                <w:sz w:val="24"/>
                <w:szCs w:val="24"/>
                <w:lang w:eastAsia="it-IT"/>
              </w:rPr>
              <w:t>Consulta Domande</w:t>
            </w:r>
            <w:r w:rsidRPr="003E3798">
              <w:rPr>
                <w:rFonts w:ascii="Verdana" w:eastAsia="Times New Roman" w:hAnsi="Verdana" w:cs="Times New Roman"/>
                <w:sz w:val="24"/>
                <w:szCs w:val="24"/>
                <w:lang w:eastAsia="it-IT"/>
              </w:rPr>
              <w:t>”.</w:t>
            </w:r>
          </w:p>
          <w:p w:rsidR="003E3798" w:rsidRPr="003E3798" w:rsidRDefault="003E3798" w:rsidP="003E3798">
            <w:pPr>
              <w:numPr>
                <w:ilvl w:val="0"/>
                <w:numId w:val="3"/>
              </w:numPr>
              <w:spacing w:before="23" w:after="23" w:line="240" w:lineRule="auto"/>
              <w:ind w:left="945"/>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xml:space="preserve">· </w:t>
            </w:r>
            <w:r w:rsidRPr="003E3798">
              <w:rPr>
                <w:rFonts w:ascii="Verdana" w:eastAsia="Times New Roman" w:hAnsi="Verdana" w:cs="Times New Roman"/>
                <w:i/>
                <w:iCs/>
                <w:sz w:val="24"/>
                <w:szCs w:val="24"/>
                <w:lang w:eastAsia="it-IT"/>
              </w:rPr>
              <w:t>“Scarica manuale utente”.</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Nel caso in cui l’utente non sia dotato di PIN dispositivo, i dati essenziali della domanda verranno ugualmente acquisiti dalla procedura telematica che inviterà con un messaggio l’interessato a convertire il PIN ordinario (con il quale si può accedere al servizio) in PIN “dispositivo”, avvertendo che la domanda non può essere inviata telematicamente all’Inps e presa in carico, se l’utente non accede nuovamente al servizio online con il PIN dispositivo (o le credenziali SPID – almeno di Livello 2 - o CNS).</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numPr>
                <w:ilvl w:val="0"/>
                <w:numId w:val="4"/>
              </w:numPr>
              <w:spacing w:before="23" w:after="23" w:line="240" w:lineRule="auto"/>
              <w:ind w:left="945"/>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Acquisizione domanda di accredito figurativo per aspettativa concessa per cariche sindacali o elettive.</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Selezionando la funzione “</w:t>
            </w:r>
            <w:r w:rsidRPr="003E3798">
              <w:rPr>
                <w:rFonts w:ascii="Verdana" w:eastAsia="Times New Roman" w:hAnsi="Verdana" w:cs="Times New Roman"/>
                <w:i/>
                <w:iCs/>
                <w:sz w:val="24"/>
                <w:szCs w:val="24"/>
                <w:lang w:eastAsia="it-IT"/>
              </w:rPr>
              <w:t>Inserisci domanda</w:t>
            </w:r>
            <w:r w:rsidRPr="003E3798">
              <w:rPr>
                <w:rFonts w:ascii="Verdana" w:eastAsia="Times New Roman" w:hAnsi="Verdana" w:cs="Times New Roman"/>
                <w:sz w:val="24"/>
                <w:szCs w:val="24"/>
                <w:lang w:eastAsia="it-IT"/>
              </w:rPr>
              <w:t>” è possibile procedere nella compilazione e successivo invio telematico della domanda di accredito figurativo. Il richiedente è chiamato a confermare i propri dati anagrafici e parte dei dati di contatto, già precompilati dalla procedura in base alle informazioni associate alle credenziali utilizzate per l’accesso al servizio (PIN o SPID – almeno di Livello 2 - o CNS). I dati possono essere aggiornati mediante l’apposita funzione. E’ infine necessario indicare se la domanda è presentata in qualità di diretto interessato o di superstite di soggetto deceduto.</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Effettuate le operazioni preliminari, il richiedente avrà la possibilità di scegliere se procedere alla compilazione della domanda di accredito figurativo per aspettativa concessa per carica sindacale ovvero procedere alla compilazione della domanda di accredito figurativo per aspettativa concessa per carica pubblica elettiva. In base alla scelta operata l’utente potrà visualizzare informazioni di dettaglio utili all’inserimento della domanda (principali riferimenti normativi, descrizione sintetica della disciplina, eventuale documentazione da allegare); infine, selezionando il pulsante “</w:t>
            </w:r>
            <w:r w:rsidRPr="003E3798">
              <w:rPr>
                <w:rFonts w:ascii="Verdana" w:eastAsia="Times New Roman" w:hAnsi="Verdana" w:cs="Times New Roman"/>
                <w:i/>
                <w:iCs/>
                <w:sz w:val="24"/>
                <w:szCs w:val="24"/>
                <w:lang w:eastAsia="it-IT"/>
              </w:rPr>
              <w:t>Compila domanda</w:t>
            </w:r>
            <w:r w:rsidRPr="003E3798">
              <w:rPr>
                <w:rFonts w:ascii="Verdana" w:eastAsia="Times New Roman" w:hAnsi="Verdana" w:cs="Times New Roman"/>
                <w:sz w:val="24"/>
                <w:szCs w:val="24"/>
                <w:lang w:eastAsia="it-IT"/>
              </w:rPr>
              <w:t xml:space="preserve">”, l’utente può inserire i dati e la documentazione richiesta a corredo della domanda nelle maschere proposte dalla procedura. Oltre ad indicare i </w:t>
            </w:r>
            <w:r w:rsidRPr="003E3798">
              <w:rPr>
                <w:rFonts w:ascii="Verdana" w:eastAsia="Times New Roman" w:hAnsi="Verdana" w:cs="Times New Roman"/>
                <w:sz w:val="24"/>
                <w:szCs w:val="24"/>
                <w:lang w:eastAsia="it-IT"/>
              </w:rPr>
              <w:lastRenderedPageBreak/>
              <w:t>periodi per i quali è chiesto l’accredito figurativo e le ulteriori informazioni richieste sul rapporto di lavoro, per completare la domanda l’utente deve allegare la documentazione a supporto tramite il pulsante “</w:t>
            </w:r>
            <w:r w:rsidRPr="003E3798">
              <w:rPr>
                <w:rFonts w:ascii="Verdana" w:eastAsia="Times New Roman" w:hAnsi="Verdana" w:cs="Times New Roman"/>
                <w:i/>
                <w:iCs/>
                <w:sz w:val="24"/>
                <w:szCs w:val="24"/>
                <w:lang w:eastAsia="it-IT"/>
              </w:rPr>
              <w:t>Allegati</w:t>
            </w:r>
            <w:r w:rsidRPr="003E3798">
              <w:rPr>
                <w:rFonts w:ascii="Verdana" w:eastAsia="Times New Roman" w:hAnsi="Verdana" w:cs="Times New Roman"/>
                <w:sz w:val="24"/>
                <w:szCs w:val="24"/>
                <w:lang w:eastAsia="it-IT"/>
              </w:rPr>
              <w:t>”.</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Una volta inserite tutte le informazioni ed allegati i documenti, tramite la funzione “</w:t>
            </w:r>
            <w:r w:rsidRPr="003E3798">
              <w:rPr>
                <w:rFonts w:ascii="Verdana" w:eastAsia="Times New Roman" w:hAnsi="Verdana" w:cs="Times New Roman"/>
                <w:i/>
                <w:iCs/>
                <w:sz w:val="24"/>
                <w:szCs w:val="24"/>
                <w:lang w:eastAsia="it-IT"/>
              </w:rPr>
              <w:t xml:space="preserve">Riepilogo e invio” </w:t>
            </w:r>
            <w:r w:rsidRPr="003E3798">
              <w:rPr>
                <w:rFonts w:ascii="Verdana" w:eastAsia="Times New Roman" w:hAnsi="Verdana" w:cs="Times New Roman"/>
                <w:sz w:val="24"/>
                <w:szCs w:val="24"/>
                <w:lang w:eastAsia="it-IT"/>
              </w:rPr>
              <w:t>è possibile verificare quanto inserito e, premendo il tasto “</w:t>
            </w:r>
            <w:r w:rsidRPr="003E3798">
              <w:rPr>
                <w:rFonts w:ascii="Verdana" w:eastAsia="Times New Roman" w:hAnsi="Verdana" w:cs="Times New Roman"/>
                <w:i/>
                <w:iCs/>
                <w:sz w:val="24"/>
                <w:szCs w:val="24"/>
                <w:lang w:eastAsia="it-IT"/>
              </w:rPr>
              <w:t>Accetto i termini e invio domanda</w:t>
            </w:r>
            <w:r w:rsidRPr="003E3798">
              <w:rPr>
                <w:rFonts w:ascii="Verdana" w:eastAsia="Times New Roman" w:hAnsi="Verdana" w:cs="Times New Roman"/>
                <w:sz w:val="24"/>
                <w:szCs w:val="24"/>
                <w:lang w:eastAsia="it-IT"/>
              </w:rPr>
              <w:t>”, effettuare l’invio telematico vero e proprio.</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numPr>
                <w:ilvl w:val="0"/>
                <w:numId w:val="5"/>
              </w:numPr>
              <w:spacing w:before="23" w:after="23" w:line="240" w:lineRule="auto"/>
              <w:ind w:left="945"/>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Visualizzazione e consultazione domande inviate</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Tutte le domande di accredito figurativo per aspettativa sindacale o elettorale presentate in via telematica sono disponibili per la consultazione tramite la funzione “</w:t>
            </w:r>
            <w:r w:rsidRPr="003E3798">
              <w:rPr>
                <w:rFonts w:ascii="Verdana" w:eastAsia="Times New Roman" w:hAnsi="Verdana" w:cs="Times New Roman"/>
                <w:i/>
                <w:iCs/>
                <w:sz w:val="24"/>
                <w:szCs w:val="24"/>
                <w:lang w:eastAsia="it-IT"/>
              </w:rPr>
              <w:t>Consulta domande</w:t>
            </w:r>
            <w:r w:rsidRPr="003E3798">
              <w:rPr>
                <w:rFonts w:ascii="Verdana" w:eastAsia="Times New Roman" w:hAnsi="Verdana" w:cs="Times New Roman"/>
                <w:sz w:val="24"/>
                <w:szCs w:val="24"/>
                <w:lang w:eastAsia="it-IT"/>
              </w:rPr>
              <w:t xml:space="preserve">” del menu della Home </w:t>
            </w:r>
            <w:proofErr w:type="spellStart"/>
            <w:r w:rsidRPr="003E3798">
              <w:rPr>
                <w:rFonts w:ascii="Verdana" w:eastAsia="Times New Roman" w:hAnsi="Verdana" w:cs="Times New Roman"/>
                <w:sz w:val="24"/>
                <w:szCs w:val="24"/>
                <w:lang w:eastAsia="it-IT"/>
              </w:rPr>
              <w:t>page</w:t>
            </w:r>
            <w:proofErr w:type="spellEnd"/>
            <w:r w:rsidRPr="003E3798">
              <w:rPr>
                <w:rFonts w:ascii="Verdana" w:eastAsia="Times New Roman" w:hAnsi="Verdana" w:cs="Times New Roman"/>
                <w:sz w:val="24"/>
                <w:szCs w:val="24"/>
                <w:lang w:eastAsia="it-IT"/>
              </w:rPr>
              <w:t xml:space="preserve"> dell’applicazione. Per ogni domanda è possibile scaricare e visualizzare la ricevuta di protocollo e acquisire informazioni in ordine allo stato di definizione della domanda (Bozza, Inviata, Acquisita).</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Attraverso il pulsante di dettaglio è possibile visualizzare tutte le informazioni relative alla pratica quali la sede Inps di assegnazione, il responsabile del procedimento amministrativo (dopo che l’operatore di sede avrà preso in carico la domanda) e lo stato della pratica. Sono visualizzabili, altresì, tutti i documenti allegati dall’utente alla domanda.</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Tramite i pulsanti “</w:t>
            </w:r>
            <w:r w:rsidRPr="003E3798">
              <w:rPr>
                <w:rFonts w:ascii="Verdana" w:eastAsia="Times New Roman" w:hAnsi="Verdana" w:cs="Times New Roman"/>
                <w:i/>
                <w:iCs/>
                <w:sz w:val="24"/>
                <w:szCs w:val="24"/>
                <w:lang w:eastAsia="it-IT"/>
              </w:rPr>
              <w:t>Stampa Domanda</w:t>
            </w:r>
            <w:r w:rsidRPr="003E3798">
              <w:rPr>
                <w:rFonts w:ascii="Verdana" w:eastAsia="Times New Roman" w:hAnsi="Verdana" w:cs="Times New Roman"/>
                <w:sz w:val="24"/>
                <w:szCs w:val="24"/>
                <w:lang w:eastAsia="it-IT"/>
              </w:rPr>
              <w:t>” e “</w:t>
            </w:r>
            <w:r w:rsidRPr="003E3798">
              <w:rPr>
                <w:rFonts w:ascii="Verdana" w:eastAsia="Times New Roman" w:hAnsi="Verdana" w:cs="Times New Roman"/>
                <w:i/>
                <w:iCs/>
                <w:sz w:val="24"/>
                <w:szCs w:val="24"/>
                <w:lang w:eastAsia="it-IT"/>
              </w:rPr>
              <w:t>Stampa Ricevuta</w:t>
            </w:r>
            <w:r w:rsidRPr="003E3798">
              <w:rPr>
                <w:rFonts w:ascii="Verdana" w:eastAsia="Times New Roman" w:hAnsi="Verdana" w:cs="Times New Roman"/>
                <w:sz w:val="24"/>
                <w:szCs w:val="24"/>
                <w:lang w:eastAsia="it-IT"/>
              </w:rPr>
              <w:t>” è possibile stampare il dettaglio della domanda e della ricevuta di protocollo.</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xml:space="preserve">La descrizione analitica di tutte le funzioni introdotte a supporto dell’iter amministrativo di invio e/o consultazione delle domande è disponibile nel manuale d’uso del servizio online, reperibile nel menù delle funzioni della Home </w:t>
            </w:r>
            <w:proofErr w:type="spellStart"/>
            <w:r w:rsidRPr="003E3798">
              <w:rPr>
                <w:rFonts w:ascii="Verdana" w:eastAsia="Times New Roman" w:hAnsi="Verdana" w:cs="Times New Roman"/>
                <w:sz w:val="24"/>
                <w:szCs w:val="24"/>
                <w:lang w:eastAsia="it-IT"/>
              </w:rPr>
              <w:t>page</w:t>
            </w:r>
            <w:proofErr w:type="spellEnd"/>
            <w:r w:rsidRPr="003E3798">
              <w:rPr>
                <w:rFonts w:ascii="Verdana" w:eastAsia="Times New Roman" w:hAnsi="Verdana" w:cs="Times New Roman"/>
                <w:sz w:val="24"/>
                <w:szCs w:val="24"/>
                <w:lang w:eastAsia="it-IT"/>
              </w:rPr>
              <w:t xml:space="preserve"> dell’applicazione; il manuale può essere consultato </w:t>
            </w:r>
            <w:r w:rsidRPr="003E3798">
              <w:rPr>
                <w:rFonts w:ascii="Verdana" w:eastAsia="Times New Roman" w:hAnsi="Verdana" w:cs="Times New Roman"/>
                <w:i/>
                <w:iCs/>
                <w:sz w:val="24"/>
                <w:szCs w:val="24"/>
                <w:lang w:eastAsia="it-IT"/>
              </w:rPr>
              <w:t>online</w:t>
            </w:r>
            <w:r w:rsidRPr="003E3798">
              <w:rPr>
                <w:rFonts w:ascii="Verdana" w:eastAsia="Times New Roman" w:hAnsi="Verdana" w:cs="Times New Roman"/>
                <w:sz w:val="24"/>
                <w:szCs w:val="24"/>
                <w:lang w:eastAsia="it-IT"/>
              </w:rPr>
              <w:t xml:space="preserve"> o scaricato in locale.</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b/>
                <w:bCs/>
                <w:sz w:val="24"/>
                <w:szCs w:val="24"/>
                <w:lang w:eastAsia="it-IT"/>
              </w:rPr>
              <w:t>3.2. Presentazione delle domande tramite Patronato</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Le domande in esame possono essere presentate anche tramite Patronato. L’accesso online da parte dei patronati avviene attraverso il seguente percorso: Tutti i servizi &gt; Accredito figurativo per aspettativa per cariche sindacali e elettorali (Patronato).</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I patronati possono accedere alle medesime funzionalità previste per i cittadini. Nel caso di accesso all’applicazione come Patronato è disponibile un terzo pulsante “Ricerca per Soggetto” che consente al Patronato di individuare, attraverso l’inserimento del codice fiscale, una domanda presentata da un determinato soggetto.</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Nel caso in cui la domanda sia stata presentata dal Patronato cui è stato attribuito regolare mandato, il cittadino interessato avrà comunque la possibilità di consultare e verificare, tramite accesso con il suo PIN personale, lo stato di definizione della pratica.</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lastRenderedPageBreak/>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b/>
                <w:bCs/>
                <w:sz w:val="24"/>
                <w:szCs w:val="24"/>
                <w:lang w:eastAsia="it-IT"/>
              </w:rPr>
              <w:t xml:space="preserve">3.3. Supporto del </w:t>
            </w:r>
            <w:proofErr w:type="spellStart"/>
            <w:r w:rsidRPr="003E3798">
              <w:rPr>
                <w:rFonts w:ascii="Verdana" w:eastAsia="Times New Roman" w:hAnsi="Verdana" w:cs="Times New Roman"/>
                <w:b/>
                <w:bCs/>
                <w:sz w:val="24"/>
                <w:szCs w:val="24"/>
                <w:lang w:eastAsia="it-IT"/>
              </w:rPr>
              <w:t>Contact</w:t>
            </w:r>
            <w:proofErr w:type="spellEnd"/>
            <w:r w:rsidRPr="003E3798">
              <w:rPr>
                <w:rFonts w:ascii="Verdana" w:eastAsia="Times New Roman" w:hAnsi="Verdana" w:cs="Times New Roman"/>
                <w:b/>
                <w:bCs/>
                <w:sz w:val="24"/>
                <w:szCs w:val="24"/>
                <w:lang w:eastAsia="it-IT"/>
              </w:rPr>
              <w:t xml:space="preserve"> Center</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b/>
                <w:bCs/>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xml:space="preserve">La domanda può essere presentata anche rivolgendosi al servizio di </w:t>
            </w:r>
            <w:proofErr w:type="spellStart"/>
            <w:r w:rsidRPr="003E3798">
              <w:rPr>
                <w:rFonts w:ascii="Verdana" w:eastAsia="Times New Roman" w:hAnsi="Verdana" w:cs="Times New Roman"/>
                <w:sz w:val="24"/>
                <w:szCs w:val="24"/>
                <w:lang w:eastAsia="it-IT"/>
              </w:rPr>
              <w:t>Contact</w:t>
            </w:r>
            <w:proofErr w:type="spellEnd"/>
            <w:r w:rsidRPr="003E3798">
              <w:rPr>
                <w:rFonts w:ascii="Verdana" w:eastAsia="Times New Roman" w:hAnsi="Verdana" w:cs="Times New Roman"/>
                <w:sz w:val="24"/>
                <w:szCs w:val="24"/>
                <w:lang w:eastAsia="it-IT"/>
              </w:rPr>
              <w:t xml:space="preserve"> Center disponibile telefonicamente al numero verde 803.164 (riservato all’utenza che chiama da telefono fisso) o al numero 06164164 (abilitato a ricevere esclusivamente chiamate da telefoni cellulari con tariffazione a carico dell’utente) che provvederà a fornire al cittadino tutte le informazioni in materia, nonché l’assistenza in merito al servizio web per orientarlo al corretto utilizzo dello stesso, supportandolo in tutte le fasi, dalle modalità di accesso alla presentazione della domanda.</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xml:space="preserve">Solo per gli utenti dotati di un PIN dispositivo, il </w:t>
            </w:r>
            <w:proofErr w:type="spellStart"/>
            <w:r w:rsidRPr="003E3798">
              <w:rPr>
                <w:rFonts w:ascii="Verdana" w:eastAsia="Times New Roman" w:hAnsi="Verdana" w:cs="Times New Roman"/>
                <w:sz w:val="24"/>
                <w:szCs w:val="24"/>
                <w:lang w:eastAsia="it-IT"/>
              </w:rPr>
              <w:t>Contact</w:t>
            </w:r>
            <w:proofErr w:type="spellEnd"/>
            <w:r w:rsidRPr="003E3798">
              <w:rPr>
                <w:rFonts w:ascii="Verdana" w:eastAsia="Times New Roman" w:hAnsi="Verdana" w:cs="Times New Roman"/>
                <w:sz w:val="24"/>
                <w:szCs w:val="24"/>
                <w:lang w:eastAsia="it-IT"/>
              </w:rPr>
              <w:t xml:space="preserve"> Center compila l’istanza sulla base delle indicazioni fornite dall’iscritto e l’acquisisce sul sistema per la successiva lavorazione. </w:t>
            </w:r>
            <w:r w:rsidRPr="003E3798">
              <w:rPr>
                <w:rFonts w:ascii="Verdana" w:eastAsia="Times New Roman" w:hAnsi="Verdana" w:cs="Times New Roman"/>
                <w:strike/>
                <w:sz w:val="24"/>
                <w:szCs w:val="24"/>
                <w:lang w:eastAsia="it-IT"/>
              </w:rPr>
              <w:t> </w:t>
            </w: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xml:space="preserve">Nel caso in cui l’utente non sia dotato di PIN dispositivo, i dati essenziali della domanda verranno ugualmente acquisiti, ma in questo caso il </w:t>
            </w:r>
            <w:proofErr w:type="spellStart"/>
            <w:r w:rsidRPr="003E3798">
              <w:rPr>
                <w:rFonts w:ascii="Verdana" w:eastAsia="Times New Roman" w:hAnsi="Verdana" w:cs="Times New Roman"/>
                <w:sz w:val="24"/>
                <w:szCs w:val="24"/>
                <w:lang w:eastAsia="it-IT"/>
              </w:rPr>
              <w:t>Contact</w:t>
            </w:r>
            <w:proofErr w:type="spellEnd"/>
            <w:r w:rsidRPr="003E3798">
              <w:rPr>
                <w:rFonts w:ascii="Verdana" w:eastAsia="Times New Roman" w:hAnsi="Verdana" w:cs="Times New Roman"/>
                <w:sz w:val="24"/>
                <w:szCs w:val="24"/>
                <w:lang w:eastAsia="it-IT"/>
              </w:rPr>
              <w:t xml:space="preserve"> Center inviterà l’interessato a trasformare il PIN, avvertendolo che l’istanza non sarà completata finché l’utente non avrà convertito il PIN ordinario in “dispositivo”. Nel menu del sito Contatti&gt;Assistenza&gt;</w:t>
            </w:r>
            <w:hyperlink r:id="rId9" w:history="1">
              <w:r w:rsidRPr="003E3798">
                <w:rPr>
                  <w:rFonts w:ascii="Verdana" w:eastAsia="Times New Roman" w:hAnsi="Verdana" w:cs="Times New Roman"/>
                  <w:color w:val="0000FF"/>
                  <w:u w:val="single"/>
                  <w:lang w:eastAsia="it-IT"/>
                </w:rPr>
                <w:t>Ottenere e gestire il PIN</w:t>
              </w:r>
            </w:hyperlink>
            <w:r w:rsidRPr="003E3798">
              <w:rPr>
                <w:rFonts w:ascii="Verdana" w:eastAsia="Times New Roman" w:hAnsi="Verdana" w:cs="Times New Roman"/>
                <w:sz w:val="24"/>
                <w:szCs w:val="24"/>
                <w:lang w:eastAsia="it-IT"/>
              </w:rPr>
              <w:t xml:space="preserve"> sono disponibili le istruzioni per c</w:t>
            </w:r>
            <w:hyperlink r:id="rId10" w:history="1">
              <w:r w:rsidRPr="003E3798">
                <w:rPr>
                  <w:rFonts w:ascii="Verdana" w:eastAsia="Times New Roman" w:hAnsi="Verdana" w:cs="Times New Roman"/>
                  <w:color w:val="0000FF"/>
                  <w:u w:val="single"/>
                  <w:lang w:eastAsia="it-IT"/>
                </w:rPr>
                <w:t>onvertire il PIN da ordinario a dispositivo</w:t>
              </w:r>
            </w:hyperlink>
            <w:r w:rsidRPr="003E3798">
              <w:rPr>
                <w:rFonts w:ascii="Verdana" w:eastAsia="Times New Roman" w:hAnsi="Verdana" w:cs="Times New Roman"/>
                <w:sz w:val="24"/>
                <w:szCs w:val="24"/>
                <w:lang w:eastAsia="it-IT"/>
              </w:rPr>
              <w:t>.</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b/>
                <w:bCs/>
                <w:sz w:val="24"/>
                <w:szCs w:val="24"/>
                <w:lang w:eastAsia="it-IT"/>
              </w:rPr>
              <w:t xml:space="preserve">4. Istruzioni per gli operatori di Sede. Istruttoria.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Per la descrizione dettagliata degli adempimenti a carico dell’operatore dell’Istituto si rinvia al manuale operativo allegato alla presente circolare (allegato 5).</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La procedura telematica in oggetto costituisce uno strumento informatico teso a rendere più celere e trasparente l’invio delle istanze e degli allegati.</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Sia il “</w:t>
            </w:r>
            <w:r w:rsidRPr="003E3798">
              <w:rPr>
                <w:rFonts w:ascii="Verdana" w:eastAsia="Times New Roman" w:hAnsi="Verdana" w:cs="Times New Roman"/>
                <w:i/>
                <w:iCs/>
                <w:sz w:val="24"/>
                <w:szCs w:val="24"/>
                <w:lang w:eastAsia="it-IT"/>
              </w:rPr>
              <w:t>manuale utente”</w:t>
            </w:r>
            <w:r w:rsidRPr="003E3798">
              <w:rPr>
                <w:rFonts w:ascii="Verdana" w:eastAsia="Times New Roman" w:hAnsi="Verdana" w:cs="Times New Roman"/>
                <w:sz w:val="24"/>
                <w:szCs w:val="24"/>
                <w:lang w:eastAsia="it-IT"/>
              </w:rPr>
              <w:t xml:space="preserve"> che un avviso automatizzato in procedura avvertono l’istante che “</w:t>
            </w:r>
            <w:r w:rsidRPr="003E3798">
              <w:rPr>
                <w:rFonts w:ascii="Verdana" w:eastAsia="Times New Roman" w:hAnsi="Verdana" w:cs="Times New Roman"/>
                <w:i/>
                <w:iCs/>
                <w:sz w:val="24"/>
                <w:szCs w:val="24"/>
                <w:lang w:eastAsia="it-IT"/>
              </w:rPr>
              <w:t>La procedura consente l’invio della domanda anche se sfornita di allegati, in tutto o in parte; in tale eventualità sarà cura dell’interessato integrare tempestivamente la documentazione mancante contattando direttamente la sede competente. Si ricorda che in caso di mancata integrazione, l’eventuale carenza documentale rende l’istanza non istruibile e dunque suscettibile di reiezione”.</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La citata avvertenza, tuttavia, non esime l’Istituto dal compiere tutte le attività istruttorie necessarie secondo le consuete modalità.</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Conseguentemente la Sede territoriale competente, in caso di carenza totale o parziale della documentazione allegata, provvederà ad assumere contatti con l’istante secondo gli ordinari canali e le disposizioni amministrative vigenti.</w:t>
            </w:r>
          </w:p>
          <w:p w:rsidR="003E3798" w:rsidRPr="003E3798" w:rsidRDefault="003E3798" w:rsidP="003E3798">
            <w:pPr>
              <w:spacing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tbl>
            <w:tblPr>
              <w:tblW w:w="5000" w:type="pct"/>
              <w:tblCellMar>
                <w:top w:w="15" w:type="dxa"/>
                <w:left w:w="15" w:type="dxa"/>
                <w:bottom w:w="15" w:type="dxa"/>
                <w:right w:w="15" w:type="dxa"/>
              </w:tblCellMar>
              <w:tblLook w:val="04A0"/>
            </w:tblPr>
            <w:tblGrid>
              <w:gridCol w:w="3180"/>
              <w:gridCol w:w="3277"/>
              <w:gridCol w:w="3181"/>
            </w:tblGrid>
            <w:tr w:rsidR="003E3798" w:rsidRPr="003E3798" w:rsidTr="003E3798">
              <w:tc>
                <w:tcPr>
                  <w:tcW w:w="1650" w:type="pct"/>
                  <w:hideMark/>
                </w:tcPr>
                <w:p w:rsidR="003E3798" w:rsidRPr="003E3798" w:rsidRDefault="003E3798" w:rsidP="003E3798">
                  <w:pPr>
                    <w:spacing w:after="0" w:line="240" w:lineRule="auto"/>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tc>
              <w:tc>
                <w:tcPr>
                  <w:tcW w:w="1700" w:type="pct"/>
                  <w:hideMark/>
                </w:tcPr>
                <w:p w:rsidR="003E3798" w:rsidRPr="003E3798" w:rsidRDefault="003E3798" w:rsidP="003E3798">
                  <w:pPr>
                    <w:spacing w:after="0" w:line="240" w:lineRule="auto"/>
                    <w:jc w:val="center"/>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Il Direttore Generale</w:t>
                  </w:r>
                </w:p>
              </w:tc>
              <w:tc>
                <w:tcPr>
                  <w:tcW w:w="0" w:type="auto"/>
                  <w:hideMark/>
                </w:tcPr>
                <w:p w:rsidR="003E3798" w:rsidRPr="003E3798" w:rsidRDefault="003E3798" w:rsidP="003E3798">
                  <w:pPr>
                    <w:spacing w:after="0" w:line="240" w:lineRule="auto"/>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tc>
            </w:tr>
            <w:tr w:rsidR="003E3798" w:rsidRPr="003E3798" w:rsidTr="003E3798">
              <w:tc>
                <w:tcPr>
                  <w:tcW w:w="1650" w:type="pct"/>
                  <w:hideMark/>
                </w:tcPr>
                <w:p w:rsidR="003E3798" w:rsidRPr="003E3798" w:rsidRDefault="003E3798" w:rsidP="003E3798">
                  <w:pPr>
                    <w:spacing w:after="0" w:line="240" w:lineRule="auto"/>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lastRenderedPageBreak/>
                    <w:t> </w:t>
                  </w:r>
                </w:p>
              </w:tc>
              <w:tc>
                <w:tcPr>
                  <w:tcW w:w="1700" w:type="pct"/>
                  <w:hideMark/>
                </w:tcPr>
                <w:p w:rsidR="003E3798" w:rsidRPr="003E3798" w:rsidRDefault="003E3798" w:rsidP="003E3798">
                  <w:pPr>
                    <w:spacing w:after="0" w:line="240" w:lineRule="auto"/>
                    <w:jc w:val="center"/>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Gabriella Di Michele</w:t>
                  </w:r>
                </w:p>
              </w:tc>
              <w:tc>
                <w:tcPr>
                  <w:tcW w:w="0" w:type="auto"/>
                  <w:hideMark/>
                </w:tcPr>
                <w:p w:rsidR="003E3798" w:rsidRPr="003E3798" w:rsidRDefault="003E3798" w:rsidP="003E3798">
                  <w:pPr>
                    <w:spacing w:after="0" w:line="240" w:lineRule="auto"/>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tc>
            </w:tr>
          </w:tbl>
          <w:p w:rsidR="003E3798" w:rsidRPr="003E3798" w:rsidRDefault="003E3798" w:rsidP="003E3798">
            <w:pPr>
              <w:spacing w:after="0" w:line="240" w:lineRule="auto"/>
              <w:jc w:val="both"/>
              <w:rPr>
                <w:rFonts w:ascii="Verdana" w:eastAsia="Times New Roman" w:hAnsi="Verdana" w:cs="Times New Roman"/>
                <w:sz w:val="24"/>
                <w:szCs w:val="24"/>
                <w:lang w:eastAsia="it-IT"/>
              </w:rPr>
            </w:pPr>
            <w:r w:rsidRPr="003E3798">
              <w:rPr>
                <w:rFonts w:ascii="Verdana" w:eastAsia="Times New Roman" w:hAnsi="Verdana" w:cs="Times New Roman"/>
                <w:sz w:val="24"/>
                <w:szCs w:val="24"/>
                <w:lang w:eastAsia="it-IT"/>
              </w:rPr>
              <w:t> </w:t>
            </w:r>
          </w:p>
          <w:p w:rsidR="003E3798" w:rsidRPr="003E3798" w:rsidRDefault="003E3798" w:rsidP="003E3798">
            <w:pPr>
              <w:spacing w:after="0" w:line="240" w:lineRule="auto"/>
              <w:rPr>
                <w:rFonts w:ascii="Verdana" w:eastAsia="Times New Roman" w:hAnsi="Verdana" w:cs="Times New Roman"/>
                <w:sz w:val="24"/>
                <w:szCs w:val="24"/>
                <w:lang w:eastAsia="it-IT"/>
              </w:rPr>
            </w:pPr>
          </w:p>
          <w:p w:rsidR="003E3798" w:rsidRPr="003E3798" w:rsidRDefault="00B04DB9" w:rsidP="003E3798">
            <w:pPr>
              <w:spacing w:after="0" w:line="240" w:lineRule="auto"/>
              <w:rPr>
                <w:rFonts w:ascii="Verdana" w:eastAsia="Times New Roman" w:hAnsi="Verdana" w:cs="Times New Roman"/>
                <w:sz w:val="24"/>
                <w:szCs w:val="24"/>
                <w:lang w:eastAsia="it-IT"/>
              </w:rPr>
            </w:pPr>
            <w:r w:rsidRPr="00B04DB9">
              <w:rPr>
                <w:rFonts w:ascii="Verdana" w:eastAsia="Times New Roman" w:hAnsi="Verdana" w:cs="Times New Roman"/>
                <w:sz w:val="24"/>
                <w:szCs w:val="24"/>
                <w:lang w:eastAsia="it-IT"/>
              </w:rPr>
              <w:pict>
                <v:rect id="_x0000_i1025" style="width:0;height:.75pt" o:hralign="center" o:hrstd="t" o:hr="t" fillcolor="#a0a0a0" stroked="f"/>
              </w:pict>
            </w:r>
          </w:p>
          <w:p w:rsidR="003E3798" w:rsidRPr="003E3798" w:rsidRDefault="00B04DB9" w:rsidP="003E3798">
            <w:pPr>
              <w:spacing w:line="240" w:lineRule="auto"/>
              <w:jc w:val="both"/>
              <w:rPr>
                <w:rFonts w:ascii="Verdana" w:eastAsia="Times New Roman" w:hAnsi="Verdana" w:cs="Times New Roman"/>
                <w:sz w:val="24"/>
                <w:szCs w:val="24"/>
                <w:lang w:eastAsia="it-IT"/>
              </w:rPr>
            </w:pPr>
            <w:hyperlink r:id="rId11" w:history="1">
              <w:r w:rsidR="003E3798" w:rsidRPr="003E3798">
                <w:rPr>
                  <w:rFonts w:ascii="Verdana" w:eastAsia="Times New Roman" w:hAnsi="Verdana" w:cs="Times New Roman"/>
                  <w:color w:val="0000FF"/>
                  <w:u w:val="single"/>
                  <w:lang w:eastAsia="it-IT"/>
                </w:rPr>
                <w:t>[1]</w:t>
              </w:r>
            </w:hyperlink>
            <w:r w:rsidR="003E3798" w:rsidRPr="003E3798">
              <w:rPr>
                <w:rFonts w:ascii="Verdana" w:eastAsia="Times New Roman" w:hAnsi="Verdana" w:cs="Times New Roman"/>
                <w:sz w:val="24"/>
                <w:szCs w:val="24"/>
                <w:lang w:eastAsia="it-IT"/>
              </w:rPr>
              <w:t xml:space="preserve"> Nome utente e password insieme ad un codice temporaneo ricevuto via sms o da </w:t>
            </w:r>
            <w:proofErr w:type="spellStart"/>
            <w:r w:rsidR="003E3798" w:rsidRPr="003E3798">
              <w:rPr>
                <w:rFonts w:ascii="Verdana" w:eastAsia="Times New Roman" w:hAnsi="Verdana" w:cs="Times New Roman"/>
                <w:sz w:val="24"/>
                <w:szCs w:val="24"/>
                <w:lang w:eastAsia="it-IT"/>
              </w:rPr>
              <w:t>app</w:t>
            </w:r>
            <w:proofErr w:type="spellEnd"/>
            <w:r w:rsidR="003E3798" w:rsidRPr="003E3798">
              <w:rPr>
                <w:rFonts w:ascii="Verdana" w:eastAsia="Times New Roman" w:hAnsi="Verdana" w:cs="Times New Roman"/>
                <w:sz w:val="24"/>
                <w:szCs w:val="24"/>
                <w:lang w:eastAsia="it-IT"/>
              </w:rPr>
              <w:t xml:space="preserve"> mobile.</w:t>
            </w:r>
          </w:p>
          <w:p w:rsidR="003E3798" w:rsidRPr="003E3798" w:rsidRDefault="00B04DB9" w:rsidP="003E3798">
            <w:pPr>
              <w:spacing w:after="75" w:line="240" w:lineRule="auto"/>
              <w:rPr>
                <w:rFonts w:ascii="Verdana" w:eastAsia="Times New Roman" w:hAnsi="Verdana" w:cs="Times New Roman"/>
                <w:sz w:val="24"/>
                <w:szCs w:val="24"/>
                <w:lang w:eastAsia="it-IT"/>
              </w:rPr>
            </w:pPr>
            <w:hyperlink r:id="rId12" w:history="1">
              <w:r w:rsidR="003E3798" w:rsidRPr="003E3798">
                <w:rPr>
                  <w:rFonts w:ascii="Verdana" w:eastAsia="Times New Roman" w:hAnsi="Verdana" w:cs="Times New Roman"/>
                  <w:b/>
                  <w:bCs/>
                  <w:color w:val="0000FF"/>
                  <w:sz w:val="20"/>
                  <w:szCs w:val="20"/>
                  <w:lang w:eastAsia="it-IT"/>
                </w:rPr>
                <w:t>Allegato N.1</w:t>
              </w:r>
            </w:hyperlink>
            <w:r w:rsidR="003E3798" w:rsidRPr="003E3798">
              <w:rPr>
                <w:rFonts w:ascii="Verdana" w:eastAsia="Times New Roman" w:hAnsi="Verdana" w:cs="Times New Roman"/>
                <w:sz w:val="24"/>
                <w:szCs w:val="24"/>
                <w:lang w:eastAsia="it-IT"/>
              </w:rPr>
              <w:br/>
            </w:r>
            <w:hyperlink r:id="rId13" w:history="1">
              <w:r w:rsidR="003E3798" w:rsidRPr="003E3798">
                <w:rPr>
                  <w:rFonts w:ascii="Verdana" w:eastAsia="Times New Roman" w:hAnsi="Verdana" w:cs="Times New Roman"/>
                  <w:b/>
                  <w:bCs/>
                  <w:color w:val="0000FF"/>
                  <w:sz w:val="20"/>
                  <w:szCs w:val="20"/>
                  <w:lang w:eastAsia="it-IT"/>
                </w:rPr>
                <w:t>Allegato N.2</w:t>
              </w:r>
            </w:hyperlink>
            <w:r w:rsidR="003E3798" w:rsidRPr="003E3798">
              <w:rPr>
                <w:rFonts w:ascii="Verdana" w:eastAsia="Times New Roman" w:hAnsi="Verdana" w:cs="Times New Roman"/>
                <w:sz w:val="24"/>
                <w:szCs w:val="24"/>
                <w:lang w:eastAsia="it-IT"/>
              </w:rPr>
              <w:br/>
            </w:r>
            <w:hyperlink r:id="rId14" w:history="1">
              <w:r w:rsidR="003E3798" w:rsidRPr="003E3798">
                <w:rPr>
                  <w:rFonts w:ascii="Verdana" w:eastAsia="Times New Roman" w:hAnsi="Verdana" w:cs="Times New Roman"/>
                  <w:b/>
                  <w:bCs/>
                  <w:color w:val="0000FF"/>
                  <w:sz w:val="20"/>
                  <w:szCs w:val="20"/>
                  <w:lang w:eastAsia="it-IT"/>
                </w:rPr>
                <w:t>Allegato N.3</w:t>
              </w:r>
            </w:hyperlink>
            <w:r w:rsidR="003E3798" w:rsidRPr="003E3798">
              <w:rPr>
                <w:rFonts w:ascii="Verdana" w:eastAsia="Times New Roman" w:hAnsi="Verdana" w:cs="Times New Roman"/>
                <w:sz w:val="24"/>
                <w:szCs w:val="24"/>
                <w:lang w:eastAsia="it-IT"/>
              </w:rPr>
              <w:br/>
            </w:r>
            <w:hyperlink r:id="rId15" w:history="1">
              <w:r w:rsidR="003E3798" w:rsidRPr="003E3798">
                <w:rPr>
                  <w:rFonts w:ascii="Verdana" w:eastAsia="Times New Roman" w:hAnsi="Verdana" w:cs="Times New Roman"/>
                  <w:b/>
                  <w:bCs/>
                  <w:color w:val="0000FF"/>
                  <w:sz w:val="20"/>
                  <w:szCs w:val="20"/>
                  <w:lang w:eastAsia="it-IT"/>
                </w:rPr>
                <w:t>Allegato N.4</w:t>
              </w:r>
            </w:hyperlink>
            <w:r w:rsidR="003E3798" w:rsidRPr="003E3798">
              <w:rPr>
                <w:rFonts w:ascii="Verdana" w:eastAsia="Times New Roman" w:hAnsi="Verdana" w:cs="Times New Roman"/>
                <w:sz w:val="24"/>
                <w:szCs w:val="24"/>
                <w:lang w:eastAsia="it-IT"/>
              </w:rPr>
              <w:br/>
            </w:r>
            <w:hyperlink r:id="rId16" w:history="1">
              <w:r w:rsidR="003E3798" w:rsidRPr="003E3798">
                <w:rPr>
                  <w:rFonts w:ascii="Verdana" w:eastAsia="Times New Roman" w:hAnsi="Verdana" w:cs="Times New Roman"/>
                  <w:b/>
                  <w:bCs/>
                  <w:color w:val="0000FF"/>
                  <w:sz w:val="20"/>
                  <w:szCs w:val="20"/>
                  <w:lang w:eastAsia="it-IT"/>
                </w:rPr>
                <w:t>Allegato N.5</w:t>
              </w:r>
            </w:hyperlink>
          </w:p>
        </w:tc>
      </w:tr>
    </w:tbl>
    <w:p w:rsidR="00B2657D" w:rsidRDefault="00B2657D"/>
    <w:sectPr w:rsidR="00B2657D" w:rsidSect="00B2657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numPicBullet w:numPicBulletId="1">
    <w:pict>
      <v:shape id="_x0000_i1047" type="#_x0000_t75" style="width:3in;height:3in" o:bullet="t"/>
    </w:pict>
  </w:numPicBullet>
  <w:numPicBullet w:numPicBulletId="2">
    <w:pict>
      <v:shape id="_x0000_i1048" type="#_x0000_t75" style="width:3in;height:3in" o:bullet="t"/>
    </w:pict>
  </w:numPicBullet>
  <w:numPicBullet w:numPicBulletId="3">
    <w:pict>
      <v:shape id="_x0000_i1049" type="#_x0000_t75" style="width:3in;height:3in" o:bullet="t"/>
    </w:pict>
  </w:numPicBullet>
  <w:numPicBullet w:numPicBulletId="4">
    <w:pict>
      <v:shape id="_x0000_i1050" type="#_x0000_t75" style="width:3in;height:3in" o:bullet="t"/>
    </w:pict>
  </w:numPicBullet>
  <w:numPicBullet w:numPicBulletId="5">
    <w:pict>
      <v:shape id="_x0000_i1051" type="#_x0000_t75" style="width:3in;height:3in" o:bullet="t"/>
    </w:pict>
  </w:numPicBullet>
  <w:numPicBullet w:numPicBulletId="6">
    <w:pict>
      <v:shape id="_x0000_i1052" type="#_x0000_t75" style="width:3in;height:3in" o:bullet="t"/>
    </w:pict>
  </w:numPicBullet>
  <w:numPicBullet w:numPicBulletId="7">
    <w:pict>
      <v:shape id="_x0000_i1053" type="#_x0000_t75" style="width:3in;height:3in" o:bullet="t"/>
    </w:pict>
  </w:numPicBullet>
  <w:numPicBullet w:numPicBulletId="8">
    <w:pict>
      <v:shape id="_x0000_i1054" type="#_x0000_t75" style="width:3in;height:3in" o:bullet="t"/>
    </w:pict>
  </w:numPicBullet>
  <w:numPicBullet w:numPicBulletId="9">
    <w:pict>
      <v:shape id="_x0000_i1055" type="#_x0000_t75" style="width:3in;height:3in" o:bullet="t"/>
    </w:pict>
  </w:numPicBullet>
  <w:abstractNum w:abstractNumId="0">
    <w:nsid w:val="048876A9"/>
    <w:multiLevelType w:val="multilevel"/>
    <w:tmpl w:val="F67CAF88"/>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930AA4"/>
    <w:multiLevelType w:val="multilevel"/>
    <w:tmpl w:val="B9B84DF4"/>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B17684"/>
    <w:multiLevelType w:val="multilevel"/>
    <w:tmpl w:val="D7D47FC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F777A1"/>
    <w:multiLevelType w:val="multilevel"/>
    <w:tmpl w:val="7924E3B4"/>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8D147C"/>
    <w:multiLevelType w:val="multilevel"/>
    <w:tmpl w:val="3D08D196"/>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E3798"/>
    <w:rsid w:val="003E3798"/>
    <w:rsid w:val="00A27BAC"/>
    <w:rsid w:val="00B04DB9"/>
    <w:rsid w:val="00B2657D"/>
    <w:rsid w:val="00E434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657D"/>
  </w:style>
  <w:style w:type="paragraph" w:styleId="Titolo2">
    <w:name w:val="heading 2"/>
    <w:basedOn w:val="Normale"/>
    <w:link w:val="Titolo2Carattere"/>
    <w:uiPriority w:val="9"/>
    <w:qFormat/>
    <w:rsid w:val="003E379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E3798"/>
    <w:rPr>
      <w:rFonts w:ascii="Times New Roman" w:eastAsia="Times New Roman" w:hAnsi="Times New Roman" w:cs="Times New Roman"/>
      <w:b/>
      <w:bCs/>
      <w:sz w:val="36"/>
      <w:szCs w:val="36"/>
      <w:lang w:eastAsia="it-IT"/>
    </w:rPr>
  </w:style>
  <w:style w:type="character" w:styleId="Enfasicorsivo">
    <w:name w:val="Emphasis"/>
    <w:basedOn w:val="Carpredefinitoparagrafo"/>
    <w:uiPriority w:val="20"/>
    <w:qFormat/>
    <w:rsid w:val="003E3798"/>
    <w:rPr>
      <w:i/>
      <w:iCs/>
    </w:rPr>
  </w:style>
  <w:style w:type="paragraph" w:styleId="NormaleWeb">
    <w:name w:val="Normal (Web)"/>
    <w:basedOn w:val="Normale"/>
    <w:uiPriority w:val="99"/>
    <w:unhideWhenUsed/>
    <w:rsid w:val="003E3798"/>
    <w:pPr>
      <w:spacing w:after="0" w:line="240" w:lineRule="auto"/>
    </w:pPr>
    <w:rPr>
      <w:rFonts w:ascii="Times New Roman" w:eastAsia="Times New Roman" w:hAnsi="Times New Roman" w:cs="Times New Roman"/>
      <w:sz w:val="24"/>
      <w:szCs w:val="24"/>
      <w:lang w:eastAsia="it-IT"/>
    </w:rPr>
  </w:style>
  <w:style w:type="character" w:customStyle="1" w:styleId="testointestazione1">
    <w:name w:val="testo_intestazione1"/>
    <w:basedOn w:val="Carpredefinitoparagrafo"/>
    <w:rsid w:val="003E3798"/>
    <w:rPr>
      <w:rFonts w:ascii="Times New Roman" w:hAnsi="Times New Roman" w:cs="Times New Roman" w:hint="default"/>
      <w:i w:val="0"/>
      <w:iCs w:val="0"/>
      <w:color w:val="808080"/>
    </w:rPr>
  </w:style>
  <w:style w:type="character" w:styleId="Enfasigrassetto">
    <w:name w:val="Strong"/>
    <w:basedOn w:val="Carpredefinitoparagrafo"/>
    <w:uiPriority w:val="22"/>
    <w:qFormat/>
    <w:rsid w:val="003E3798"/>
    <w:rPr>
      <w:b/>
      <w:bCs/>
    </w:rPr>
  </w:style>
  <w:style w:type="character" w:customStyle="1" w:styleId="testocorsivo1">
    <w:name w:val="testo_corsivo1"/>
    <w:basedOn w:val="Carpredefinitoparagrafo"/>
    <w:rsid w:val="003E3798"/>
    <w:rPr>
      <w:rFonts w:ascii="Verdana" w:hAnsi="Verdana" w:hint="default"/>
      <w:i/>
      <w:iCs/>
      <w:sz w:val="22"/>
      <w:szCs w:val="22"/>
    </w:rPr>
  </w:style>
  <w:style w:type="character" w:customStyle="1" w:styleId="testonormale1">
    <w:name w:val="testo_normale1"/>
    <w:basedOn w:val="Carpredefinitoparagrafo"/>
    <w:rsid w:val="003E3798"/>
    <w:rPr>
      <w:rFonts w:ascii="Verdana" w:hAnsi="Verdana" w:hint="default"/>
      <w:i w:val="0"/>
      <w:iCs w:val="0"/>
      <w:sz w:val="22"/>
      <w:szCs w:val="22"/>
    </w:rPr>
  </w:style>
  <w:style w:type="paragraph" w:customStyle="1" w:styleId="default">
    <w:name w:val="default"/>
    <w:basedOn w:val="Normale"/>
    <w:rsid w:val="003E3798"/>
    <w:pPr>
      <w:spacing w:after="0"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E379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37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8298432">
      <w:bodyDiv w:val="1"/>
      <w:marLeft w:val="0"/>
      <w:marRight w:val="0"/>
      <w:marTop w:val="0"/>
      <w:marBottom w:val="0"/>
      <w:divBdr>
        <w:top w:val="none" w:sz="0" w:space="0" w:color="auto"/>
        <w:left w:val="none" w:sz="0" w:space="0" w:color="auto"/>
        <w:bottom w:val="none" w:sz="0" w:space="0" w:color="auto"/>
        <w:right w:val="none" w:sz="0" w:space="0" w:color="auto"/>
      </w:divBdr>
      <w:divsChild>
        <w:div w:id="1912035911">
          <w:marLeft w:val="75"/>
          <w:marRight w:val="0"/>
          <w:marTop w:val="0"/>
          <w:marBottom w:val="0"/>
          <w:divBdr>
            <w:top w:val="none" w:sz="0" w:space="0" w:color="auto"/>
            <w:left w:val="none" w:sz="0" w:space="0" w:color="auto"/>
            <w:bottom w:val="none" w:sz="0" w:space="0" w:color="auto"/>
            <w:right w:val="none" w:sz="0" w:space="0" w:color="auto"/>
          </w:divBdr>
          <w:divsChild>
            <w:div w:id="1021324761">
              <w:marLeft w:val="0"/>
              <w:marRight w:val="0"/>
              <w:marTop w:val="0"/>
              <w:marBottom w:val="0"/>
              <w:divBdr>
                <w:top w:val="none" w:sz="0" w:space="0" w:color="auto"/>
                <w:left w:val="none" w:sz="0" w:space="0" w:color="auto"/>
                <w:bottom w:val="none" w:sz="0" w:space="0" w:color="auto"/>
                <w:right w:val="none" w:sz="0" w:space="0" w:color="auto"/>
              </w:divBdr>
              <w:divsChild>
                <w:div w:id="129640382">
                  <w:marLeft w:val="30"/>
                  <w:marRight w:val="30"/>
                  <w:marTop w:val="30"/>
                  <w:marBottom w:val="30"/>
                  <w:divBdr>
                    <w:top w:val="none" w:sz="0" w:space="0" w:color="auto"/>
                    <w:left w:val="none" w:sz="0" w:space="0" w:color="auto"/>
                    <w:bottom w:val="none" w:sz="0" w:space="0" w:color="auto"/>
                    <w:right w:val="none" w:sz="0" w:space="0" w:color="auto"/>
                  </w:divBdr>
                  <w:divsChild>
                    <w:div w:id="330640981">
                      <w:marLeft w:val="0"/>
                      <w:marRight w:val="0"/>
                      <w:marTop w:val="0"/>
                      <w:marBottom w:val="0"/>
                      <w:divBdr>
                        <w:top w:val="none" w:sz="0" w:space="0" w:color="auto"/>
                        <w:left w:val="none" w:sz="0" w:space="0" w:color="auto"/>
                        <w:bottom w:val="none" w:sz="0" w:space="0" w:color="auto"/>
                        <w:right w:val="none" w:sz="0" w:space="0" w:color="auto"/>
                      </w:divBdr>
                    </w:div>
                    <w:div w:id="1384326110">
                      <w:marLeft w:val="225"/>
                      <w:marRight w:val="225"/>
                      <w:marTop w:val="75"/>
                      <w:marBottom w:val="75"/>
                      <w:divBdr>
                        <w:top w:val="none" w:sz="0" w:space="0" w:color="auto"/>
                        <w:left w:val="none" w:sz="0" w:space="0" w:color="auto"/>
                        <w:bottom w:val="none" w:sz="0" w:space="0" w:color="auto"/>
                        <w:right w:val="none" w:sz="0" w:space="0" w:color="auto"/>
                      </w:divBdr>
                      <w:divsChild>
                        <w:div w:id="277610968">
                          <w:marLeft w:val="0"/>
                          <w:marRight w:val="0"/>
                          <w:marTop w:val="600"/>
                          <w:marBottom w:val="600"/>
                          <w:divBdr>
                            <w:top w:val="none" w:sz="0" w:space="0" w:color="auto"/>
                            <w:left w:val="none" w:sz="0" w:space="0" w:color="auto"/>
                            <w:bottom w:val="none" w:sz="0" w:space="0" w:color="auto"/>
                            <w:right w:val="none" w:sz="0" w:space="0" w:color="auto"/>
                          </w:divBdr>
                        </w:div>
                        <w:div w:id="1586694022">
                          <w:marLeft w:val="0"/>
                          <w:marRight w:val="0"/>
                          <w:marTop w:val="0"/>
                          <w:marBottom w:val="0"/>
                          <w:divBdr>
                            <w:top w:val="none" w:sz="0" w:space="0" w:color="auto"/>
                            <w:left w:val="none" w:sz="0" w:space="0" w:color="auto"/>
                            <w:bottom w:val="none" w:sz="0" w:space="0" w:color="auto"/>
                            <w:right w:val="none" w:sz="0" w:space="0" w:color="auto"/>
                          </w:divBdr>
                          <w:divsChild>
                            <w:div w:id="849371426">
                              <w:marLeft w:val="108"/>
                              <w:marRight w:val="108"/>
                              <w:marTop w:val="0"/>
                              <w:marBottom w:val="0"/>
                              <w:divBdr>
                                <w:top w:val="none" w:sz="0" w:space="0" w:color="auto"/>
                                <w:left w:val="none" w:sz="0" w:space="0" w:color="auto"/>
                                <w:bottom w:val="none" w:sz="0" w:space="0" w:color="auto"/>
                                <w:right w:val="none" w:sz="0" w:space="0" w:color="auto"/>
                              </w:divBdr>
                            </w:div>
                            <w:div w:id="1970087764">
                              <w:marLeft w:val="108"/>
                              <w:marRight w:val="108"/>
                              <w:marTop w:val="0"/>
                              <w:marBottom w:val="0"/>
                              <w:divBdr>
                                <w:top w:val="none" w:sz="0" w:space="0" w:color="auto"/>
                                <w:left w:val="none" w:sz="0" w:space="0" w:color="auto"/>
                                <w:bottom w:val="none" w:sz="0" w:space="0" w:color="auto"/>
                                <w:right w:val="none" w:sz="0" w:space="0" w:color="auto"/>
                              </w:divBdr>
                            </w:div>
                            <w:div w:id="1435709572">
                              <w:marLeft w:val="0"/>
                              <w:marRight w:val="0"/>
                              <w:marTop w:val="0"/>
                              <w:marBottom w:val="0"/>
                              <w:divBdr>
                                <w:top w:val="none" w:sz="0" w:space="0" w:color="auto"/>
                                <w:left w:val="none" w:sz="0" w:space="0" w:color="auto"/>
                                <w:bottom w:val="none" w:sz="0" w:space="0" w:color="auto"/>
                                <w:right w:val="none" w:sz="0" w:space="0" w:color="auto"/>
                              </w:divBdr>
                            </w:div>
                            <w:div w:id="1467890795">
                              <w:marLeft w:val="0"/>
                              <w:marRight w:val="0"/>
                              <w:marTop w:val="450"/>
                              <w:marBottom w:val="150"/>
                              <w:divBdr>
                                <w:top w:val="none" w:sz="0" w:space="0" w:color="auto"/>
                                <w:left w:val="none" w:sz="0" w:space="0" w:color="auto"/>
                                <w:bottom w:val="none" w:sz="0" w:space="0" w:color="auto"/>
                                <w:right w:val="none" w:sz="0" w:space="0" w:color="auto"/>
                              </w:divBdr>
                            </w:div>
                          </w:divsChild>
                        </w:div>
                        <w:div w:id="999120304">
                          <w:marLeft w:val="0"/>
                          <w:marRight w:val="0"/>
                          <w:marTop w:val="150"/>
                          <w:marBottom w:val="150"/>
                          <w:divBdr>
                            <w:top w:val="none" w:sz="0" w:space="0" w:color="auto"/>
                            <w:left w:val="none" w:sz="0" w:space="0" w:color="auto"/>
                            <w:bottom w:val="none" w:sz="0" w:space="0" w:color="auto"/>
                            <w:right w:val="none" w:sz="0" w:space="0" w:color="auto"/>
                          </w:divBdr>
                        </w:div>
                        <w:div w:id="819688873">
                          <w:marLeft w:val="0"/>
                          <w:marRight w:val="0"/>
                          <w:marTop w:val="400"/>
                          <w:marBottom w:val="200"/>
                          <w:divBdr>
                            <w:top w:val="none" w:sz="0" w:space="0" w:color="auto"/>
                            <w:left w:val="none" w:sz="0" w:space="0" w:color="auto"/>
                            <w:bottom w:val="none" w:sz="0" w:space="0" w:color="auto"/>
                            <w:right w:val="none" w:sz="0" w:space="0" w:color="auto"/>
                          </w:divBdr>
                          <w:divsChild>
                            <w:div w:id="1013147943">
                              <w:marLeft w:val="0"/>
                              <w:marRight w:val="0"/>
                              <w:marTop w:val="0"/>
                              <w:marBottom w:val="0"/>
                              <w:divBdr>
                                <w:top w:val="none" w:sz="0" w:space="0" w:color="auto"/>
                                <w:left w:val="none" w:sz="0" w:space="0" w:color="auto"/>
                                <w:bottom w:val="none" w:sz="0" w:space="0" w:color="auto"/>
                                <w:right w:val="none" w:sz="0" w:space="0" w:color="auto"/>
                              </w:divBdr>
                              <w:divsChild>
                                <w:div w:id="209813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94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ps.it/NuovoportaleINPS/default.aspx?itemdir=50260&amp;lang=IT" TargetMode="External"/><Relationship Id="rId13" Type="http://schemas.openxmlformats.org/officeDocument/2006/relationships/hyperlink" Target="https://www.inps.it/bussola/visualizzadoc.aspx?sVirtuAlURL=/Circolari/../CircolariZIP/Circolare%20numero%20153%20del%2024-10-2017_Allegato%20n%20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ps.it/NuovoportaleINPS/default.aspx?itemdir=50259&amp;lang=IT" TargetMode="External"/><Relationship Id="rId12" Type="http://schemas.openxmlformats.org/officeDocument/2006/relationships/hyperlink" Target="https://www.inps.it/bussola/visualizzadoc.aspx?sVirtuAlURL=/Circolari/../CircolariZIP/Circolare%20numero%20153%20del%2024-10-2017_Allegato%20n%201.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ps.it/bussola/visualizzadoc.aspx?sVirtuAlURL=/Circolari/../CircolariZIP/Circolare%20numero%20153%20del%2024-10-2017_Allegato%20n%205.pdf" TargetMode="External"/><Relationship Id="rId1" Type="http://schemas.openxmlformats.org/officeDocument/2006/relationships/numbering" Target="numbering.xml"/><Relationship Id="rId6" Type="http://schemas.openxmlformats.org/officeDocument/2006/relationships/hyperlink" Target="https://www.inps.it/bussola/visualizzadoc.aspx?sVirtuAlURL=/Circolari/file:///C:/Users/pfoddis/Desktop/Nuove%20modalita%20di%20presentazione%20delle%20domande%20di%20accredito%20della%20contribuzione%20figurativa.docx" TargetMode="External"/><Relationship Id="rId11" Type="http://schemas.openxmlformats.org/officeDocument/2006/relationships/hyperlink" Target="https://www.inps.it/bussola/visualizzadoc.aspx?sVirtuAlURL=/Circolari/file:///C:/Users/pfoddis/Desktop/Nuove%20modalita%20di%20presentazione%20delle%20domande%20di%20accredito%20della%20contribuzione%20figurativa.docx" TargetMode="External"/><Relationship Id="rId5" Type="http://schemas.openxmlformats.org/officeDocument/2006/relationships/hyperlink" Target="http://www.inps.it/" TargetMode="External"/><Relationship Id="rId15" Type="http://schemas.openxmlformats.org/officeDocument/2006/relationships/hyperlink" Target="https://www.inps.it/bussola/visualizzadoc.aspx?sVirtuAlURL=/Circolari/../CircolariZIP/Circolare%20numero%20153%20del%2024-10-2017_Allegato%20n%204.pdf" TargetMode="External"/><Relationship Id="rId10" Type="http://schemas.openxmlformats.org/officeDocument/2006/relationships/hyperlink" Target="https://www.inps.it/NuovoportaleINPS/default.aspx?sPathID=%3b0%3b46672%3b46673%3b46675%3b&amp;lastMenu=46675&amp;iMenu=1&amp;iNodo=46675&amp;p4=2" TargetMode="External"/><Relationship Id="rId4" Type="http://schemas.openxmlformats.org/officeDocument/2006/relationships/webSettings" Target="webSettings.xml"/><Relationship Id="rId9" Type="http://schemas.openxmlformats.org/officeDocument/2006/relationships/hyperlink" Target="https://www.inps.it/NuovoportaleINPS/default.aspx?sPathID=%3b0%3b46672%3b46673%3b&amp;lastMenu=46673&amp;iMenu=1&amp;p4=2" TargetMode="External"/><Relationship Id="rId14" Type="http://schemas.openxmlformats.org/officeDocument/2006/relationships/hyperlink" Target="https://www.inps.it/bussola/visualizzadoc.aspx?sVirtuAlURL=/Circolari/../CircolariZIP/Circolare%20numero%20153%20del%2024-10-2017_Allegato%20n%203.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2566</Words>
  <Characters>14630</Characters>
  <Application>Microsoft Office Word</Application>
  <DocSecurity>0</DocSecurity>
  <Lines>121</Lines>
  <Paragraphs>34</Paragraphs>
  <ScaleCrop>false</ScaleCrop>
  <Company/>
  <LinksUpToDate>false</LinksUpToDate>
  <CharactersWithSpaces>17162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GiovanniT</dc:creator>
  <cp:lastModifiedBy>GiovanniT</cp:lastModifiedBy>
  <cp:revision>2</cp:revision>
  <dcterms:created xsi:type="dcterms:W3CDTF">2017-10-25T14:50:00Z</dcterms:created>
  <dcterms:modified xsi:type="dcterms:W3CDTF">2017-10-25T14:50:00Z</dcterms:modified>
</cp:coreProperties>
</file>