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CEB" w:rsidRDefault="009F2CEB" w:rsidP="00A4109B">
      <w:pPr>
        <w:spacing w:after="0" w:line="240" w:lineRule="auto"/>
      </w:pPr>
    </w:p>
    <w:p w:rsidR="00A4109B" w:rsidRDefault="00A4109B" w:rsidP="00A4109B">
      <w:pPr>
        <w:spacing w:after="0" w:line="240" w:lineRule="auto"/>
        <w:jc w:val="center"/>
        <w:rPr>
          <w:rFonts w:ascii="Times New Roman" w:eastAsia="Times New Roman" w:hAnsi="Times New Roman" w:cs="Times New Roman"/>
          <w:b/>
          <w:sz w:val="24"/>
          <w:szCs w:val="24"/>
          <w:lang w:eastAsia="it-IT"/>
        </w:rPr>
      </w:pPr>
      <w:proofErr w:type="spellStart"/>
      <w:r w:rsidRPr="00A4109B">
        <w:rPr>
          <w:rFonts w:ascii="Times New Roman" w:eastAsia="Times New Roman" w:hAnsi="Times New Roman" w:cs="Times New Roman"/>
          <w:b/>
          <w:sz w:val="24"/>
          <w:szCs w:val="24"/>
          <w:lang w:eastAsia="it-IT"/>
        </w:rPr>
        <w:t>Arconet</w:t>
      </w:r>
      <w:proofErr w:type="spellEnd"/>
    </w:p>
    <w:p w:rsidR="00A4109B" w:rsidRPr="00A4109B" w:rsidRDefault="00A4109B" w:rsidP="00A4109B">
      <w:pPr>
        <w:spacing w:after="0" w:line="240" w:lineRule="auto"/>
        <w:jc w:val="center"/>
        <w:rPr>
          <w:rFonts w:ascii="Times New Roman" w:eastAsia="Times New Roman" w:hAnsi="Times New Roman" w:cs="Times New Roman"/>
          <w:b/>
          <w:sz w:val="24"/>
          <w:szCs w:val="24"/>
          <w:lang w:eastAsia="it-IT"/>
        </w:rPr>
      </w:pPr>
    </w:p>
    <w:p w:rsidR="009F2CEB" w:rsidRPr="009F2CEB" w:rsidRDefault="009F2CEB" w:rsidP="009F2CEB">
      <w:pPr>
        <w:spacing w:after="0" w:line="240" w:lineRule="auto"/>
        <w:rPr>
          <w:rFonts w:ascii="Times New Roman" w:eastAsia="Times New Roman" w:hAnsi="Times New Roman" w:cs="Times New Roman"/>
          <w:sz w:val="24"/>
          <w:szCs w:val="24"/>
          <w:lang w:eastAsia="it-IT"/>
        </w:rPr>
      </w:pPr>
      <w:r w:rsidRPr="009F2CEB">
        <w:rPr>
          <w:rFonts w:ascii="Times New Roman" w:eastAsia="Times New Roman" w:hAnsi="Times New Roman" w:cs="Times New Roman"/>
          <w:sz w:val="24"/>
          <w:szCs w:val="24"/>
          <w:lang w:eastAsia="it-IT"/>
        </w:rPr>
        <w:t>Domanda n. 26:</w:t>
      </w:r>
    </w:p>
    <w:p w:rsidR="009F2CEB" w:rsidRPr="009F2CEB" w:rsidRDefault="009F2CEB" w:rsidP="009F2CEB">
      <w:pPr>
        <w:spacing w:before="100" w:beforeAutospacing="1" w:after="100" w:afterAutospacing="1" w:line="240" w:lineRule="auto"/>
        <w:rPr>
          <w:rFonts w:ascii="Times New Roman" w:eastAsia="Times New Roman" w:hAnsi="Times New Roman" w:cs="Times New Roman"/>
          <w:sz w:val="24"/>
          <w:szCs w:val="24"/>
          <w:lang w:eastAsia="it-IT"/>
        </w:rPr>
      </w:pPr>
      <w:r w:rsidRPr="009F2CEB">
        <w:rPr>
          <w:rFonts w:ascii="Times New Roman" w:eastAsia="Times New Roman" w:hAnsi="Times New Roman" w:cs="Times New Roman"/>
          <w:sz w:val="24"/>
          <w:szCs w:val="24"/>
          <w:lang w:eastAsia="it-IT"/>
        </w:rPr>
        <w:t>Con riferimento all’esempio n. 5 dell’appendice tecnica, del principio contabile applicato concernente la contabilità finanziaria, ai fini del calcolo dell’accantonamento al FCDE nel bilancio di previsione come deve determinare il rapporto tra incassi di competenza e i relativi accertamenti un ente quando il quinquennio di riferimento risulta composto esclusivamente da esercizi tutti gestiti nel rispetto del nuovo principio della competenza finanziaria potenziata?</w:t>
      </w:r>
    </w:p>
    <w:p w:rsidR="009F2CEB" w:rsidRPr="009F2CEB" w:rsidRDefault="009F2CEB" w:rsidP="009F2CEB">
      <w:pPr>
        <w:spacing w:after="0" w:line="240" w:lineRule="auto"/>
        <w:rPr>
          <w:rFonts w:ascii="Times New Roman" w:eastAsia="Times New Roman" w:hAnsi="Times New Roman" w:cs="Times New Roman"/>
          <w:sz w:val="24"/>
          <w:szCs w:val="24"/>
          <w:lang w:eastAsia="it-IT"/>
        </w:rPr>
      </w:pPr>
      <w:r w:rsidRPr="009F2CEB">
        <w:rPr>
          <w:rFonts w:ascii="Times New Roman" w:eastAsia="Times New Roman" w:hAnsi="Times New Roman" w:cs="Times New Roman"/>
          <w:sz w:val="24"/>
          <w:szCs w:val="24"/>
          <w:lang w:eastAsia="it-IT"/>
        </w:rPr>
        <w:t>Risposta:</w:t>
      </w:r>
    </w:p>
    <w:p w:rsidR="009F2CEB" w:rsidRPr="009F2CEB" w:rsidRDefault="009F2CEB" w:rsidP="009F2CEB">
      <w:pPr>
        <w:spacing w:before="100" w:beforeAutospacing="1" w:after="100" w:afterAutospacing="1" w:line="240" w:lineRule="auto"/>
        <w:rPr>
          <w:rFonts w:ascii="Times New Roman" w:eastAsia="Times New Roman" w:hAnsi="Times New Roman" w:cs="Times New Roman"/>
          <w:sz w:val="24"/>
          <w:szCs w:val="24"/>
          <w:lang w:eastAsia="it-IT"/>
        </w:rPr>
      </w:pPr>
      <w:r w:rsidRPr="009F2CEB">
        <w:rPr>
          <w:rFonts w:ascii="Times New Roman" w:eastAsia="Times New Roman" w:hAnsi="Times New Roman" w:cs="Times New Roman"/>
          <w:sz w:val="24"/>
          <w:szCs w:val="24"/>
          <w:lang w:eastAsia="it-IT"/>
        </w:rPr>
        <w:t>Un ente soggetto al d.lgs. n. 118 del 2011 che, per determinare l’accantonamento al FCDE nel bilancio di previsione, intende utilizzare la facoltà di slittare il quinquennio di riferimento, per considerare anche le riscossioni effettuate nell’anno successivo in conto residui dell’anno precedente, con riferimento alla formula indicata nel punto 2) dell’esempio n. 5 dell’appendice tecnica del principio contabile applicato concernente la contabilità finanziaria se presenta il quinquennio di riferimento composto esclusivamente da esercizi gestiti nel rispetto della citata disciplina armonizzata calcola il rapporto tra incassi di competenza e i relativi accertamenti nel modo seguente per tutti gli esercizi compresi nel quinquennio di riferimento :</w:t>
      </w:r>
    </w:p>
    <w:p w:rsidR="009F2CEB" w:rsidRPr="009F2CEB" w:rsidRDefault="009F2CEB" w:rsidP="009F2CEB">
      <w:pPr>
        <w:spacing w:before="100" w:beforeAutospacing="1" w:after="100" w:afterAutospacing="1" w:line="240" w:lineRule="auto"/>
        <w:ind w:left="600"/>
        <w:rPr>
          <w:rFonts w:ascii="Times New Roman" w:eastAsia="Times New Roman" w:hAnsi="Times New Roman" w:cs="Times New Roman"/>
          <w:sz w:val="24"/>
          <w:szCs w:val="24"/>
          <w:lang w:eastAsia="it-IT"/>
        </w:rPr>
      </w:pPr>
      <w:r w:rsidRPr="009F2CEB">
        <w:rPr>
          <w:rFonts w:ascii="Times New Roman" w:eastAsia="Times New Roman" w:hAnsi="Times New Roman" w:cs="Times New Roman"/>
          <w:b/>
          <w:bCs/>
          <w:sz w:val="24"/>
          <w:szCs w:val="24"/>
          <w:lang w:eastAsia="it-IT"/>
        </w:rPr>
        <w:t>(incassi di competenza es. X + incassi esercizio X+1 in c/residui X) : accertamenti esercizio X</w:t>
      </w:r>
    </w:p>
    <w:p w:rsidR="009F2CEB" w:rsidRPr="009F2CEB" w:rsidRDefault="009F2CEB" w:rsidP="009F2CEB">
      <w:pPr>
        <w:spacing w:after="0" w:line="240" w:lineRule="auto"/>
        <w:rPr>
          <w:rFonts w:ascii="Times New Roman" w:eastAsia="Times New Roman" w:hAnsi="Times New Roman" w:cs="Times New Roman"/>
          <w:sz w:val="24"/>
          <w:szCs w:val="24"/>
          <w:lang w:eastAsia="it-IT"/>
        </w:rPr>
      </w:pPr>
      <w:r w:rsidRPr="009F2CEB">
        <w:rPr>
          <w:rFonts w:ascii="Times New Roman" w:eastAsia="Times New Roman" w:hAnsi="Times New Roman" w:cs="Times New Roman"/>
          <w:sz w:val="24"/>
          <w:szCs w:val="24"/>
          <w:lang w:eastAsia="it-IT"/>
        </w:rPr>
        <w:t>27/10/2017</w:t>
      </w:r>
    </w:p>
    <w:p w:rsidR="00B2657D" w:rsidRDefault="00B2657D" w:rsidP="009F2CEB">
      <w:pPr>
        <w:spacing w:after="0" w:line="240" w:lineRule="auto"/>
      </w:pPr>
    </w:p>
    <w:sectPr w:rsidR="00B2657D" w:rsidSect="00B2657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4109B"/>
    <w:rsid w:val="009F2CEB"/>
    <w:rsid w:val="00A4109B"/>
    <w:rsid w:val="00B2657D"/>
    <w:rsid w:val="00CB0469"/>
    <w:rsid w:val="00D40A91"/>
    <w:rsid w:val="00DE60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657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410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4109B"/>
    <w:rPr>
      <w:b/>
      <w:bCs/>
    </w:rPr>
  </w:style>
</w:styles>
</file>

<file path=word/webSettings.xml><?xml version="1.0" encoding="utf-8"?>
<w:webSettings xmlns:r="http://schemas.openxmlformats.org/officeDocument/2006/relationships" xmlns:w="http://schemas.openxmlformats.org/wordprocessingml/2006/main">
  <w:divs>
    <w:div w:id="314535057">
      <w:bodyDiv w:val="1"/>
      <w:marLeft w:val="0"/>
      <w:marRight w:val="0"/>
      <w:marTop w:val="0"/>
      <w:marBottom w:val="0"/>
      <w:divBdr>
        <w:top w:val="none" w:sz="0" w:space="0" w:color="auto"/>
        <w:left w:val="none" w:sz="0" w:space="0" w:color="auto"/>
        <w:bottom w:val="none" w:sz="0" w:space="0" w:color="auto"/>
        <w:right w:val="none" w:sz="0" w:space="0" w:color="auto"/>
      </w:divBdr>
      <w:divsChild>
        <w:div w:id="725488939">
          <w:marLeft w:val="0"/>
          <w:marRight w:val="0"/>
          <w:marTop w:val="0"/>
          <w:marBottom w:val="0"/>
          <w:divBdr>
            <w:top w:val="none" w:sz="0" w:space="0" w:color="auto"/>
            <w:left w:val="none" w:sz="0" w:space="0" w:color="auto"/>
            <w:bottom w:val="none" w:sz="0" w:space="0" w:color="auto"/>
            <w:right w:val="none" w:sz="0" w:space="0" w:color="auto"/>
          </w:divBdr>
          <w:divsChild>
            <w:div w:id="865215428">
              <w:marLeft w:val="0"/>
              <w:marRight w:val="0"/>
              <w:marTop w:val="0"/>
              <w:marBottom w:val="0"/>
              <w:divBdr>
                <w:top w:val="none" w:sz="0" w:space="0" w:color="auto"/>
                <w:left w:val="none" w:sz="0" w:space="0" w:color="auto"/>
                <w:bottom w:val="none" w:sz="0" w:space="0" w:color="auto"/>
                <w:right w:val="none" w:sz="0" w:space="0" w:color="auto"/>
              </w:divBdr>
              <w:divsChild>
                <w:div w:id="726102068">
                  <w:marLeft w:val="0"/>
                  <w:marRight w:val="0"/>
                  <w:marTop w:val="0"/>
                  <w:marBottom w:val="0"/>
                  <w:divBdr>
                    <w:top w:val="none" w:sz="0" w:space="0" w:color="auto"/>
                    <w:left w:val="none" w:sz="0" w:space="0" w:color="auto"/>
                    <w:bottom w:val="none" w:sz="0" w:space="0" w:color="auto"/>
                    <w:right w:val="none" w:sz="0" w:space="0" w:color="auto"/>
                  </w:divBdr>
                  <w:divsChild>
                    <w:div w:id="720784841">
                      <w:marLeft w:val="0"/>
                      <w:marRight w:val="0"/>
                      <w:marTop w:val="0"/>
                      <w:marBottom w:val="0"/>
                      <w:divBdr>
                        <w:top w:val="none" w:sz="0" w:space="0" w:color="auto"/>
                        <w:left w:val="none" w:sz="0" w:space="0" w:color="auto"/>
                        <w:bottom w:val="none" w:sz="0" w:space="0" w:color="auto"/>
                        <w:right w:val="none" w:sz="0" w:space="0" w:color="auto"/>
                      </w:divBdr>
                      <w:divsChild>
                        <w:div w:id="1564680926">
                          <w:marLeft w:val="0"/>
                          <w:marRight w:val="0"/>
                          <w:marTop w:val="0"/>
                          <w:marBottom w:val="0"/>
                          <w:divBdr>
                            <w:top w:val="none" w:sz="0" w:space="0" w:color="auto"/>
                            <w:left w:val="none" w:sz="0" w:space="0" w:color="auto"/>
                            <w:bottom w:val="none" w:sz="0" w:space="0" w:color="auto"/>
                            <w:right w:val="none" w:sz="0" w:space="0" w:color="auto"/>
                          </w:divBdr>
                          <w:divsChild>
                            <w:div w:id="893589062">
                              <w:marLeft w:val="0"/>
                              <w:marRight w:val="0"/>
                              <w:marTop w:val="0"/>
                              <w:marBottom w:val="0"/>
                              <w:divBdr>
                                <w:top w:val="none" w:sz="0" w:space="0" w:color="auto"/>
                                <w:left w:val="none" w:sz="0" w:space="0" w:color="auto"/>
                                <w:bottom w:val="none" w:sz="0" w:space="0" w:color="auto"/>
                                <w:right w:val="none" w:sz="0" w:space="0" w:color="auto"/>
                              </w:divBdr>
                              <w:divsChild>
                                <w:div w:id="704409765">
                                  <w:marLeft w:val="0"/>
                                  <w:marRight w:val="0"/>
                                  <w:marTop w:val="0"/>
                                  <w:marBottom w:val="0"/>
                                  <w:divBdr>
                                    <w:top w:val="none" w:sz="0" w:space="0" w:color="auto"/>
                                    <w:left w:val="none" w:sz="0" w:space="0" w:color="auto"/>
                                    <w:bottom w:val="none" w:sz="0" w:space="0" w:color="auto"/>
                                    <w:right w:val="none" w:sz="0" w:space="0" w:color="auto"/>
                                  </w:divBdr>
                                </w:div>
                                <w:div w:id="499005385">
                                  <w:marLeft w:val="0"/>
                                  <w:marRight w:val="0"/>
                                  <w:marTop w:val="0"/>
                                  <w:marBottom w:val="0"/>
                                  <w:divBdr>
                                    <w:top w:val="none" w:sz="0" w:space="0" w:color="auto"/>
                                    <w:left w:val="none" w:sz="0" w:space="0" w:color="auto"/>
                                    <w:bottom w:val="none" w:sz="0" w:space="0" w:color="auto"/>
                                    <w:right w:val="none" w:sz="0" w:space="0" w:color="auto"/>
                                  </w:divBdr>
                                </w:div>
                              </w:divsChild>
                            </w:div>
                            <w:div w:id="1044872318">
                              <w:marLeft w:val="0"/>
                              <w:marRight w:val="0"/>
                              <w:marTop w:val="0"/>
                              <w:marBottom w:val="0"/>
                              <w:divBdr>
                                <w:top w:val="none" w:sz="0" w:space="0" w:color="auto"/>
                                <w:left w:val="none" w:sz="0" w:space="0" w:color="auto"/>
                                <w:bottom w:val="none" w:sz="0" w:space="0" w:color="auto"/>
                                <w:right w:val="none" w:sz="0" w:space="0" w:color="auto"/>
                              </w:divBdr>
                              <w:divsChild>
                                <w:div w:id="61686696">
                                  <w:marLeft w:val="0"/>
                                  <w:marRight w:val="0"/>
                                  <w:marTop w:val="0"/>
                                  <w:marBottom w:val="0"/>
                                  <w:divBdr>
                                    <w:top w:val="none" w:sz="0" w:space="0" w:color="auto"/>
                                    <w:left w:val="none" w:sz="0" w:space="0" w:color="auto"/>
                                    <w:bottom w:val="none" w:sz="0" w:space="0" w:color="auto"/>
                                    <w:right w:val="none" w:sz="0" w:space="0" w:color="auto"/>
                                  </w:divBdr>
                                </w:div>
                                <w:div w:id="1513761163">
                                  <w:marLeft w:val="0"/>
                                  <w:marRight w:val="0"/>
                                  <w:marTop w:val="0"/>
                                  <w:marBottom w:val="0"/>
                                  <w:divBdr>
                                    <w:top w:val="none" w:sz="0" w:space="0" w:color="auto"/>
                                    <w:left w:val="none" w:sz="0" w:space="0" w:color="auto"/>
                                    <w:bottom w:val="none" w:sz="0" w:space="0" w:color="auto"/>
                                    <w:right w:val="none" w:sz="0" w:space="0" w:color="auto"/>
                                  </w:divBdr>
                                  <w:divsChild>
                                    <w:div w:id="6987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845132">
      <w:bodyDiv w:val="1"/>
      <w:marLeft w:val="0"/>
      <w:marRight w:val="0"/>
      <w:marTop w:val="0"/>
      <w:marBottom w:val="0"/>
      <w:divBdr>
        <w:top w:val="none" w:sz="0" w:space="0" w:color="auto"/>
        <w:left w:val="none" w:sz="0" w:space="0" w:color="auto"/>
        <w:bottom w:val="none" w:sz="0" w:space="0" w:color="auto"/>
        <w:right w:val="none" w:sz="0" w:space="0" w:color="auto"/>
      </w:divBdr>
      <w:divsChild>
        <w:div w:id="748582531">
          <w:marLeft w:val="0"/>
          <w:marRight w:val="0"/>
          <w:marTop w:val="0"/>
          <w:marBottom w:val="0"/>
          <w:divBdr>
            <w:top w:val="none" w:sz="0" w:space="0" w:color="auto"/>
            <w:left w:val="none" w:sz="0" w:space="0" w:color="auto"/>
            <w:bottom w:val="none" w:sz="0" w:space="0" w:color="auto"/>
            <w:right w:val="none" w:sz="0" w:space="0" w:color="auto"/>
          </w:divBdr>
          <w:divsChild>
            <w:div w:id="1768043244">
              <w:marLeft w:val="0"/>
              <w:marRight w:val="0"/>
              <w:marTop w:val="0"/>
              <w:marBottom w:val="0"/>
              <w:divBdr>
                <w:top w:val="none" w:sz="0" w:space="0" w:color="auto"/>
                <w:left w:val="none" w:sz="0" w:space="0" w:color="auto"/>
                <w:bottom w:val="none" w:sz="0" w:space="0" w:color="auto"/>
                <w:right w:val="none" w:sz="0" w:space="0" w:color="auto"/>
              </w:divBdr>
              <w:divsChild>
                <w:div w:id="1408654896">
                  <w:marLeft w:val="0"/>
                  <w:marRight w:val="0"/>
                  <w:marTop w:val="0"/>
                  <w:marBottom w:val="0"/>
                  <w:divBdr>
                    <w:top w:val="none" w:sz="0" w:space="0" w:color="auto"/>
                    <w:left w:val="none" w:sz="0" w:space="0" w:color="auto"/>
                    <w:bottom w:val="none" w:sz="0" w:space="0" w:color="auto"/>
                    <w:right w:val="none" w:sz="0" w:space="0" w:color="auto"/>
                  </w:divBdr>
                  <w:divsChild>
                    <w:div w:id="1154682606">
                      <w:marLeft w:val="0"/>
                      <w:marRight w:val="0"/>
                      <w:marTop w:val="0"/>
                      <w:marBottom w:val="0"/>
                      <w:divBdr>
                        <w:top w:val="none" w:sz="0" w:space="0" w:color="auto"/>
                        <w:left w:val="none" w:sz="0" w:space="0" w:color="auto"/>
                        <w:bottom w:val="none" w:sz="0" w:space="0" w:color="auto"/>
                        <w:right w:val="none" w:sz="0" w:space="0" w:color="auto"/>
                      </w:divBdr>
                      <w:divsChild>
                        <w:div w:id="869995226">
                          <w:marLeft w:val="0"/>
                          <w:marRight w:val="0"/>
                          <w:marTop w:val="0"/>
                          <w:marBottom w:val="0"/>
                          <w:divBdr>
                            <w:top w:val="none" w:sz="0" w:space="0" w:color="auto"/>
                            <w:left w:val="none" w:sz="0" w:space="0" w:color="auto"/>
                            <w:bottom w:val="none" w:sz="0" w:space="0" w:color="auto"/>
                            <w:right w:val="none" w:sz="0" w:space="0" w:color="auto"/>
                          </w:divBdr>
                          <w:divsChild>
                            <w:div w:id="313026917">
                              <w:marLeft w:val="0"/>
                              <w:marRight w:val="0"/>
                              <w:marTop w:val="0"/>
                              <w:marBottom w:val="0"/>
                              <w:divBdr>
                                <w:top w:val="none" w:sz="0" w:space="0" w:color="auto"/>
                                <w:left w:val="none" w:sz="0" w:space="0" w:color="auto"/>
                                <w:bottom w:val="none" w:sz="0" w:space="0" w:color="auto"/>
                                <w:right w:val="none" w:sz="0" w:space="0" w:color="auto"/>
                              </w:divBdr>
                              <w:divsChild>
                                <w:div w:id="2068146832">
                                  <w:marLeft w:val="0"/>
                                  <w:marRight w:val="0"/>
                                  <w:marTop w:val="0"/>
                                  <w:marBottom w:val="0"/>
                                  <w:divBdr>
                                    <w:top w:val="none" w:sz="0" w:space="0" w:color="auto"/>
                                    <w:left w:val="none" w:sz="0" w:space="0" w:color="auto"/>
                                    <w:bottom w:val="none" w:sz="0" w:space="0" w:color="auto"/>
                                    <w:right w:val="none" w:sz="0" w:space="0" w:color="auto"/>
                                  </w:divBdr>
                                </w:div>
                                <w:div w:id="1301884635">
                                  <w:marLeft w:val="0"/>
                                  <w:marRight w:val="0"/>
                                  <w:marTop w:val="0"/>
                                  <w:marBottom w:val="0"/>
                                  <w:divBdr>
                                    <w:top w:val="none" w:sz="0" w:space="0" w:color="auto"/>
                                    <w:left w:val="none" w:sz="0" w:space="0" w:color="auto"/>
                                    <w:bottom w:val="none" w:sz="0" w:space="0" w:color="auto"/>
                                    <w:right w:val="none" w:sz="0" w:space="0" w:color="auto"/>
                                  </w:divBdr>
                                </w:div>
                              </w:divsChild>
                            </w:div>
                            <w:div w:id="624773376">
                              <w:marLeft w:val="0"/>
                              <w:marRight w:val="0"/>
                              <w:marTop w:val="0"/>
                              <w:marBottom w:val="0"/>
                              <w:divBdr>
                                <w:top w:val="none" w:sz="0" w:space="0" w:color="auto"/>
                                <w:left w:val="none" w:sz="0" w:space="0" w:color="auto"/>
                                <w:bottom w:val="none" w:sz="0" w:space="0" w:color="auto"/>
                                <w:right w:val="none" w:sz="0" w:space="0" w:color="auto"/>
                              </w:divBdr>
                              <w:divsChild>
                                <w:div w:id="10377199">
                                  <w:marLeft w:val="0"/>
                                  <w:marRight w:val="0"/>
                                  <w:marTop w:val="0"/>
                                  <w:marBottom w:val="0"/>
                                  <w:divBdr>
                                    <w:top w:val="none" w:sz="0" w:space="0" w:color="auto"/>
                                    <w:left w:val="none" w:sz="0" w:space="0" w:color="auto"/>
                                    <w:bottom w:val="none" w:sz="0" w:space="0" w:color="auto"/>
                                    <w:right w:val="none" w:sz="0" w:space="0" w:color="auto"/>
                                  </w:divBdr>
                                </w:div>
                                <w:div w:id="923225264">
                                  <w:marLeft w:val="0"/>
                                  <w:marRight w:val="0"/>
                                  <w:marTop w:val="0"/>
                                  <w:marBottom w:val="0"/>
                                  <w:divBdr>
                                    <w:top w:val="none" w:sz="0" w:space="0" w:color="auto"/>
                                    <w:left w:val="none" w:sz="0" w:space="0" w:color="auto"/>
                                    <w:bottom w:val="none" w:sz="0" w:space="0" w:color="auto"/>
                                    <w:right w:val="none" w:sz="0" w:space="0" w:color="auto"/>
                                  </w:divBdr>
                                  <w:divsChild>
                                    <w:div w:id="4396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8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GiovanniT</dc:creator>
  <cp:lastModifiedBy>GiovanniT</cp:lastModifiedBy>
  <cp:revision>2</cp:revision>
  <dcterms:created xsi:type="dcterms:W3CDTF">2017-10-30T08:24:00Z</dcterms:created>
  <dcterms:modified xsi:type="dcterms:W3CDTF">2017-10-30T08:24:00Z</dcterms:modified>
</cp:coreProperties>
</file>